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C-3724/2010 vom 26. April 2011</w:t>
      </w:r>
    </w:p>
    <w:p>
      <w:r>
        <w:t>Bundesverwaltungsgericht, 2011-04-26, DE</w:t>
      </w:r>
    </w:p>
    <w:p>
      <w:r>
        <w:rPr>
          <w:b/>
        </w:rPr>
        <w:t xml:space="preserve">Quelle: </w:t>
      </w:r>
      <w:r>
        <w:t>https://mcp.opencaselaw.ch/entscheid/bvger_C-3724_2010</w:t>
      </w:r>
    </w:p>
    <w:p>
      <w:r>
        <w:t>FR: TAF C-3724/2010 du 26 avril 2011</w:t>
      </w:r>
    </w:p>
    <w:p>
      <w:r>
        <w:t>IT: TAF C-3724/2010 del 26 aprile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Dazu gehören Ver­fügungen des BFM betreffend Reisedokumente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2A.451/2002 vom 28. März 2003, teilweise publiziert in BGE 129 II 215; BGE 135 II 369 E. 3.3).</w:t>
      </w:r>
    </w:p>
    <w:p>
      <w:r>
        <w:rPr>
          <w:b/>
        </w:rPr>
        <w:t>E. 3.1</w:t>
      </w:r>
    </w:p>
    <w:p>
      <w:r>
        <w:t>Nach Massgabe von Art. 59 Abs. 2 Bst. a des Bundesgesetzes vom 16. Dezember 2005 über die Ausländerinnen und Ausländer (AuG, SR 142.20) in Verbindung mit Art. 2 Bst. a der Verordnung vom 20. Januar 2010 über die Ausstellung von Reisedokumenten für ausländische Personen (RDV, SR 143.5)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3.2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nicht nach subjektiven, sondern nach objek­tiven Massstäben zu beurteilen (vgl. Urteile des Bundesgerichts 2A.335/2006 vom 18. Oktober 2006 E. 2.1 sowie 2A.12/2005 und 2A.13/2005 vom 25. April 2005 E. 3.2 mit Hinweisen).</w:t>
      </w:r>
    </w:p>
    <w:p>
      <w:r>
        <w:rPr>
          <w:b/>
        </w:rPr>
        <w:t>E. 4.2</w:t>
      </w:r>
    </w:p>
    <w:p>
      <w:r>
        <w:t>Aus den Akten ergibt sich, dass der Beschwerdeführer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w:t>
      </w:r>
    </w:p>
    <w:p>
      <w:r>
        <w:rPr>
          <w:b/>
        </w:rPr>
        <w:t>E. 4.3</w:t>
      </w:r>
    </w:p>
    <w:p>
      <w:r>
        <w:t>Zwar ging die Vorinstanz nach Verschärfung der Lage im Irak im Jahre 2003 während längerer Zeit davon aus, dass sich Personen aus dem Zentral- oder dem Nordirak keine gültigen heimatlichen Rei­sedokumente mehr beschaffen könnten und deshalb grundsätzlich als schriftenlos zu betrachten seien (vgl. das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dazu über, ihren hierzulande wohnhaften Staatsangehörigen - auf entsprechendes Gesuch hin - wieder heimatliche Reisepässe auszustellen. Neueren Abklärungen bei der irakischen Botschaft in Bern zufolge werden allerdings seit den Wahlen im Irak von März 2010 aufgrund der (damals) noch nicht erfolgten Regierungsbildung sowohl im Irak als auch in der Schweiz keine irakischen Pässe mehr ausgestellt. Allfällige technisch oder organisatorisch bedingte Verzögerungen bei der Passausstellung sind regelmässig nicht geeignet, eine Unmöglichkeit im Sinne von Art. 6 Abs. 1 Bst. b RDV zu begründen. Würde die Schweiz in einer solchen Situation auf breiter Basis von Schriftenlosigkeit ausgehen, wäre sie regelmässig gehalten, in die Passhoheit - und damit in die Souveränität anderer Staaten - einzugreifen (vgl. Urteile des Bundesverwaltungsgerichts C-8018/2008 vom 16. März 2011 E. 5.3. und 5.5 mit Hinweisen sowie C-5315/2010 vom 7. Januar 2011 E. 5.3.). Die geltende RDV führt denn auch explizit aus, dass Verzögerungen, die bei der Ausstellung eines Reisedokuments bei den zuständigen Behörden des Heimat- oder Herkunftsstaates entstehen, keine Schriftenlosigkeit begründen (vgl. Art. 6 Abs. 2 RDV).</w:t>
      </w:r>
    </w:p>
    <w:p>
      <w:r>
        <w:rPr>
          <w:b/>
        </w:rPr>
        <w:t>E. 4.4</w:t>
      </w:r>
    </w:p>
    <w:p>
      <w:r>
        <w:t>Der Beschwerdeführer macht auch im vorliegenden Verfahren geltend, alles unternommen zu haben, um seine Schriftenlosigkeit nachzuweisen. Von der Vorinstanz dazu aufgefordert, die entsprechenden Schritte zum Erhalt eines heimatlichen Reisepasses seit Erlass des Urteils des Bundesverwaltungsgerichts C-1059/2006 vom 15. Januar 2010 aufzuzeigen, begnügt er sich mit dem Hinweis auf das von seinem Rechtsvertreter an die irakische Vertretung gerichtete (aber offenbar unbeantwortet gebliebene) Schreiben vom 15. März 2010. Dass derartige Interventionen - ohne persönliche Kontaktnahme mit der heimatlichen Vertretung in der Schweiz - wohl kaum zum gewünschten Ziel führen dürften, ist nachvollziehbar. Das Bundesverwaltungsgericht hat denn auch den Beschwerdeführer nicht nur im obgenannten Urteil, sondern bereits im Rahmen seines Verfahrens um Anerkennung der Staatenlosigkeit explizit darauf hingewiesen, dass eine persönliche Vorsprache - allein schon zwecks Abklärung der Identität - unumgänglich sei (vgl. Urteil C-1042/2006 vom 9. September 2008 E. 3.5; vgl. auch Urteil C-5465/2010 vom 8. März 2011 E. 5.3). Für die Annahme einer solchen (zwischenzeitlichen) Vorsprache bei der Heimatvertretung ergeben sich aus den Akten nicht die geringsten Hinweise. Die Vorinstanz hat somit in ihrer Verfügung zu Recht festgehalten, die Bemühungen des Beschwerdeführers zum Erhalt eines heimatlichen Reisepasses seien nach wie vor nicht erschöpft.</w:t>
      </w:r>
    </w:p>
    <w:p>
      <w:r>
        <w:rPr>
          <w:b/>
        </w:rPr>
        <w:t>E. 4.5</w:t>
      </w:r>
    </w:p>
    <w:p>
      <w:r>
        <w:t>Soweit der Beschwerdeführer der Vorinstanz erneut vorwirft, seine Abstammung vom irakischen Staat bei der irakischen Botschaft nicht amtlich abgeklärt zu haben und somit implizit eine unvollständige Feststellung des rechtserheblichen Sachverhalts im Sinne von Art. 49 Bst. b i.V.m. Art. 12 VwVG rügt, wird auf die entsprechenden Ausführungen im Urteil C-1059/2006 vom 15. Januar 2010 (E. 6.4) verwiesen. An dieser Stelle gilt es nochmals mit Nachdruck festzuhalten, dass es allein am Beschwerdeführer liegt, seine Staatsangehörigkeit zu klären, mithin die nötigen Schritte zur Erlangung der erforderlichen irakischen Dokumente (Nationalitätenausweis ["Shahadit Al-Jensie"], Identitätskarte ["Hawitt Al-Ahwal Al-Medanie"]) zu unternehmen, um so die administrativen Bedingungen für die Ausstellung eines heimatlichen Reisedokuments zu erfüllen.</w:t>
      </w:r>
    </w:p>
    <w:p>
      <w:r>
        <w:rPr>
          <w:b/>
        </w:rPr>
        <w:t>E. 4.6</w:t>
      </w:r>
    </w:p>
    <w:p>
      <w:r>
        <w:t>Irakische Pässe können gemäss Abklärungen der Vorinstanz mittels Einreichens der originalen Identitätskarte und des originalen Nationalitätenausweises bei der irakischen Botschaft in Bern beantragt werden. Bei Fehlen dieser Dokumente kann die irakische Vertretung in Bern - auf entsprechenden Antrag hin - ein Gesuch um Abklärung der Identität an das irakische Aussenministerium in Bagdad übermitteln. Befindet sich der Gesuchsteller ausserhalb des Irak, muss er einer sich im Irak befindenden Person eine Sondervollmacht ausstellen (beispielsweise einem dazu mandatierten Anwalt), damit diese den Vorgang verfolgt und die gesetzlich vorgesehenen Gebühren deckt (vgl. die erwähnten Urteile des Bundesverwaltungsgerichts C-8018/2008 vom 16. März 2011 E. 5.4 und C-5465/2010 vom 8. März 2011 E. 5.1 mit Hinweisen). Sollte das Passantragsverfahren zwischenzeitlich eine Änderung erfahren haben, so ist es im Übrigen allein Sache des Beschwerdeführers, sich bei seiner heimatlichen Vertretung über die Einzelheiten und das genaue Prozedere zur Erlangung eines irakischen Passes zu informieren. Unter welchen Bedingungen ein heimatliches Reisedokument auszustellen ist, beurteilt sich allein nach der Gesetzgebung des jeweiligen Staates und nicht nach der schweizerischen Rechtslage.</w:t>
      </w:r>
    </w:p>
    <w:p>
      <w:r>
        <w:rPr>
          <w:b/>
        </w:rPr>
        <w:t>E. 4.7</w:t>
      </w:r>
    </w:p>
    <w:p>
      <w:r>
        <w:t>Entgegen der Ansicht des Beschwerdeführers erweist sich die Beschaffung eines irakischen Reisedokuments demnach nicht als objektiv unmöglich im Sinne von Art. 6 Abs. 1 Bst. b RDV, zumal die Bemühungen des Beschwerdeführers zum Er­halt eines heimatlichen Reisepasses offensichtlich nicht erschöpft sind. Zusammenfassend ist festzuhalten, dass zum heutigen Zeitpunkt keine ob­jektiven Gründe vorliegen, aufgrund derer der Beschwerdeführer als schriftenlos im Sinne von Art. 6 Abs. 1 RDV anzusehen wäre. Dies umso weniger, als sich aus den Akten keinerlei An­haltspunkte ergeben, die hei­matlichen Behörden würden sich ohne zu­reichende Gründe - und damit will­kürlich - weigern, ihm ein Reisepapier auszustellen (vgl. das bereits mehrfach erwähnte Urteil des Bundesverwal­tungsgerichts C-8018/2008 vom 16. März 2011 E. 6 mit weiteren Hinweisen).</w:t>
      </w:r>
    </w:p>
    <w:p>
      <w:r>
        <w:rPr>
          <w:b/>
        </w:rPr>
        <w:t>E. 5</w:t>
      </w:r>
    </w:p>
    <w:p>
      <w:r>
        <w:t>Die Vorinstanz hat demzufolge dem Beschwerdeführer zu Recht die Ausstellung eines schweizerischen Ersatzreisepapiers verweigert, was sich nach dem Gesagten nicht als unverhältnismässig erweist. Die angefochtene Verfügung verletzt kein Bundesrecht. Der rechtserhebliche Sachverhalt wurde richtig und vollständig festgestellt, und die Vorinstanz hat das ihr zustehende Ermessen pflichtgemäss und zutreffend gehandhabt (vgl. Art. 49 VwVG). Die Beschwerde ist daher abzu­weisen.</w:t>
      </w:r>
    </w:p>
    <w:p>
      <w:r>
        <w:rPr>
          <w:b/>
        </w:rPr>
        <w:t>E. 6</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