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C-3724/2009 vom 4. November 2010</w:t>
      </w:r>
    </w:p>
    <w:p>
      <w:r>
        <w:t>Bundesverwaltungsgericht, 2010-11-04, FR</w:t>
      </w:r>
    </w:p>
    <w:p>
      <w:r>
        <w:rPr>
          <w:b/>
        </w:rPr>
        <w:t xml:space="preserve">Quelle: </w:t>
      </w:r>
      <w:r>
        <w:t>https://mcp.opencaselaw.ch/entscheid/bvger_C-3724_2009</w:t>
      </w:r>
    </w:p>
    <w:p>
      <w:r>
        <w:t>FR: TAF C-3724/2009 du 4 novembre 2010</w:t>
      </w:r>
    </w:p>
    <w:p>
      <w:r>
        <w:t>IT: TAF C-3724/2009 del 4 novembre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celles en vigueur à compter du 1er janvier 2008. En ce qui concerne les faits déterminants, selon la jurisprudence, le Tribunal de céans doit se limiter à examiner la situation de fait existant jusqu'à la date de la décision attaquée (ATF 130 V 445 consid. 1.2).</w:t>
      </w:r>
    </w:p>
    <w:p>
      <w:r>
        <w:rPr>
          <w:b/>
        </w:rPr>
        <w:t>E. 4.1</w:t>
      </w:r>
    </w:p>
    <w:p>
      <w:r>
        <w:t>La décision dont est recours fait suite à une deuxième demande de rente, une précédente demande ayant été rejetée par décision du 21 juin 2007 entrée en force. 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(ce qu'elle n'a pas fait en l'espèce), elle doit instruire la cause et déterminer si la modification du degré d'invalidité rendue plausible par l'assuré s'est effectivement produite (ATF 130 V 71 consid. 2.2).</w:t>
      </w:r>
    </w:p>
    <w:p>
      <w:r>
        <w:rPr>
          <w:b/>
        </w:rPr>
        <w:t>E. 4.2</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4.3</w:t>
      </w:r>
    </w:p>
    <w:p>
      <w:r>
        <w:t>Il faut dès lors examiner la question de savoir si c'est à juste titre que l'administration a rendu une décision de refus d'entrer en matière.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w:t>
      </w:r>
    </w:p>
    <w:p>
      <w:r>
        <w:rPr>
          <w:b/>
        </w:rPr>
        <w:t>E. 5.1</w:t>
      </w:r>
    </w:p>
    <w:p>
      <w:r>
        <w:t>En l'espèce, il y a préliminairement lieu de constater qu'entre la décision 21 juin 2007 et celle du 29 avril 2009 quelque 16 mois se sont écoulés, ce qui correspond à une période relativement brève. Dans le cadre de sa précédente demande de prestations, il a été retenu par le service médical de l'OAIE un status post cancer du rectum opéré en 2004 ne présentant aucune complication et sans signe de récidive, un status de coronaropathie (suspicion d'ancienne ischémie légère) et port d'un pace-maker avec facteurs de risques cardiovasculaires, une ancienne lésion des membres supérieurs, une hypertrophie prostatique et une hyperlipémie non invalidantes, soit des atteintes lui permettant malgré elles d'exercer son activité antérieure d'employé de magasin et d'aide boulanger. Ce constat justifia le rejet de la demande de rente par décision du 21 juin 2007 entrée en force.</w:t>
      </w:r>
    </w:p>
    <w:p>
      <w:r>
        <w:rPr>
          <w:b/>
        </w:rPr>
        <w:t>E. 5.2</w:t>
      </w:r>
    </w:p>
    <w:p>
      <w:r>
        <w:t>Dans le cadre de la demande de rente subséquente déposée le 14 décembre 2008, après que l'intéressé obtint la reconnaissance selon la législation portugaise d'une invalidité de 80%, trois documents médicaux furent nouvellement produits, à savoir un rapport TC de la colonne lombo-sacrée du 19 juin 2007, un rapport d'ecocardiographie daté du 29 novembre 2007 et un rapport E 213 daté du 24 octobre 2009. Ce dernier retint certes une incapacité de travail pour toute activité mais n'indiqua sur le plan clinique qu'une rigidité de la colonne lombaire, un status post opération d'un adénocarcinome, le port d'un pace-maker depuis 2004, une discopathie L5-S1. En tout les cas ce constat, comme le releva le service médical de l'OAIE, ne permet pas de retenir une incapacité de travail pour toute activité selon les critères d'appréciation de l'invalidité selon la législation suisse pour laquelle la capacité de travail résiduelle est déterminante et non les atteintes à la santé. Il s'ensuit que c'est à raison que la Dresse D._______ a retenu dans son rapport du 26 février 2009 que la nouvelle documentation médicale n'établissait pas que l'invalidité s'était modifiée affectant de manière significative la capacité de travail. Une discopathie L5-S1 a certes été nouvellement relevée de même encore par la suite de l'ostéoporose. Mais ces atteintes qui sont également en relation avec l'âge ne sont pas constitutives d'une incapacité de travail significative déterminante pour l'assurance-invalidité et l'altération de la colonne vertébrale ne saurait in casu être qualifiée de grave vu que l'intéressé n'est pas régulièrement suivi médicalement. Le seul constat d'altérations de la colonne vertébrale même avec compression moyenne au niveau lombo-sacrée par rapport à un status sans altération n'ouvre pas le droit à une rente d'invalidité. Spécifiquement l'intéressé n'a pas fait valoir être suivi médicalement pour son hernie discale avec compression moyenne et souffrir de cette atteinte au point de nécessiter une prochaine intervention chirurgicale dont le status post opératoire pourrait éventuellement être invalidant en cas d'échec de l'opération, laquelle est courante en cas de compression discale sans entraîner une longue interruption de travail.</w:t>
      </w:r>
    </w:p>
    <w:p>
      <w:r>
        <w:rPr>
          <w:b/>
        </w:rPr>
        <w:t>E. 5.3</w:t>
      </w:r>
    </w:p>
    <w:p>
      <w:r>
        <w:t>Dans ses écritures l'intéressé fait valoir que le fait d'avoir été reconnu en incapacité de travail de 80% par la Sécurité sociale portugaise constituait déjà en lui-même l'indice d'une plausible détérioration de son état de santé. Bien que l'administration de l'assurance-invalidité suisse ne soit pas liée par les décisions d'un organisme étranger dont les critères d'application des normes de droit social sont différents dans un contexte économique différent (ce que reconnaît l'art. 40 al. 4 du règlement 1408/71 en relation avec son l'Annexe V qui ne prévoit pas de concordance entre la Suisse et le Portugal), il est néanmoins patent qu'elle doit en prendre connaissance et intégrer celles-ci dans le cadre de l'examen des demandes de prestations qui lui sont soumises mais sans autres effets. Il s'ensuit que les rapports médicaux qui lui sont présentés et leur appréciation par son service médical dans le cadre de l'ensemble du dossier sont seuls déterminants. Or, en l'espèce, la nouvelle documentation médicale, complétée en dernier lieu par le rapport médical du Dr E._______, ne permet pas de constater une plausible aggravation significative de l'état de santé de l'assuré au point de retenir, selon les critères suisses, une plausible incapacité de travail de 40% sur une année au moins dans son activité d'employé de magasin et d'aide boulanger. En particulier, de règle, et sauf complications documentées que l'intéressé n'a pas fait valoir depuis la pose d'un pace-maker pour réguler ses crises d'arythmie cardiaque, le port d'un pace-maker n'affecte pas la capacité de travail dans des activités ordinaires dont fait partie celle d'employé de magasin et en très grande partie d'aide boulanger. C'est donc à raison que l'OAIE n'est pas entré en matière sur la demande du 14 février 2008. Mal fondé le recours doit ainsi être rejeté tant en ce qui concerne la demande de prestations qu'en ce qui concerne la réquisition d'une expertise médicale vu la nature non inquisitoire de la procédure d'examen ayant abouti à la décision attaquée.</w:t>
      </w:r>
    </w:p>
    <w:p>
      <w:r>
        <w:rPr>
          <w:b/>
        </w:rPr>
        <w:t>E. 6.1</w:t>
      </w:r>
    </w:p>
    <w:p>
      <w:r>
        <w:t>Le recourant étant au bénéfice de l'assistance judiciaire par décision incidente du 21 août 2009, il n'est pas perçu de frais de procédure (art. 65 PA; art. 6 du règlement du 21 février 2008 concernant les frais, dépens et indemnités fixés par le Tribunal administratif fédéral [FITAF, RS 173.320.2]).</w:t>
      </w:r>
    </w:p>
    <w:p>
      <w:r>
        <w:rPr>
          <w:b/>
        </w:rPr>
        <w:t>E. 6.2</w:t>
      </w:r>
    </w:p>
    <w:p>
      <w:r>
        <w:t>Il est alloué au représentant du recourant une indemnité d'avocat commis d'office (art. 12 FITAF) de Fr. 2'000.- à charge de la caisse du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