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C-3710/2010 vom 7. Oktober 2010</w:t>
      </w:r>
    </w:p>
    <w:p>
      <w:r>
        <w:t>Bundesverwaltungsgericht, 2010-10-07, DE</w:t>
      </w:r>
    </w:p>
    <w:p>
      <w:r>
        <w:rPr>
          <w:b/>
        </w:rPr>
        <w:t xml:space="preserve">Quelle: </w:t>
      </w:r>
      <w:r>
        <w:t>https://mcp.opencaselaw.ch/entscheid/bvger_C-3710_2010</w:t>
      </w:r>
    </w:p>
    <w:p>
      <w:r>
        <w:t>FR: TAF C-3710/2010 du 7 octobre 2010</w:t>
      </w:r>
    </w:p>
    <w:p>
      <w:r>
        <w:t>IT: TAF C-3710/2010 del 7 ottobre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Nebst dem Beschwerdeführer als Verfügungsbetroffenem ist auch die Beschwerdeführerin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Zur Einreise in die Schweiz bzw. den Schengenraum für einen Aufenthalt von höchstens drei Monaten benötigen sogenannte Drittstaatsangehörige, d.h. Büger eines nicht zu diesem Raum gehörigen Staates, gültige Reisedokumente, die zum Grenzübertritt berechtigen, und ein Visum, sofern dieses erforderlich ist (vgl. Art. 5 Abs. 1 Bst. a des Bundesgesetzes vom 16. Dezember 2005 über die Ausländerinnen und Ausländer [AuG, SR 142.20]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w:t>
      </w:r>
    </w:p>
    <w:p>
      <w:r>
        <w:rPr>
          <w:b/>
        </w:rPr>
        <w:t>E. 4.2</w:t>
      </w:r>
    </w:p>
    <w:p>
      <w:r>
        <w:t>Im Weiteren müssen sie den Zweck und die Umstände ihres beabsichtigten Aufenthalts belegen und hierfür über ausreichende finanzielle Mittel verfügen (Art. 5 Abs. 1 Bst. c SGK, Art. 5 Abs. 1 Bst. b AuG). Namentlich haben Drittstaatsangehörige zu belegen, dass sie das Land vor Ablauf der Gültigkeitsdauer des beantragten Visums wieder verlassen, bzw. Gewähr für ihre fristgerechte Wiederausreise zu bieten (vgl. Art. 14 Abs. 1 Bst. d der Verordnung [EG] 810/2009 des Europäischen Parlaments und des Rates vom 13. Juli 2009 über einen Visakodex der Gemeinschaft [EG-Visakodex; ABl. L 243 vom 15.09.2009, S. 1], Art. 5 Abs. 2 AuG). Hinsichtlich der in Frage kommenden Belege zur Glaubhaftmachung des Aufenthaltszwecks verweist Art. 5 Abs. 2 SGK auf den Anhang I. Ausführliche Regelungen zum Einreiseerfordernis der ausreichenden fiananziellen Mittel finden sich in Art. 5 Abs. 3 SGK sowie in Art. 2 Abs. 2 und Art. 7 - 11 VEV.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w:t>
      </w:r>
    </w:p>
    <w:p>
      <w:r>
        <w:t>In Anhang I zur Verordnung (EG) Nr. 539/2001 des Rates vom 15. März 2001 (ABl. L 81 vom 21.03.2001, S. 1-7), abgeändert durch die Verordnung (EG) Nr. 1244/2009 des Rates vom 30. November 2009 (Visumsbefreiung von Serbien, Montenegro und Mazedonien; ABl. L 336 vom 18.12.2009, S. 1-3) sind diejenigen Staaten aufgelistet, deren Staatsangehörige beim Überschreiten der Aussengrenzen der Schengen-Mitgliedstaaten im Besitze eines Visums sein müssen. Die Dominikanische Republik ist in diesem Anhang aufgeführt, weshalb der Beschwerdeführer der Visumspflicht unterliegt.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Der Beschwerdeführer stammt aus der Dominikanischen Republik. Die Wirtschaft dieses Landes konnte sich zwar nach einer durch den Zusammenbruch dreier grosser Geschäftsbanken im Jahre 2003 verursachten schweren Krise - dank der Konsolidierungspolitik des im August 2004 gewählten (und im Mai 2008 wiedergewählten) Staatspräsidenten und Regierungschefs Leonel Fernández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gilt die Dominikanische Republik als wirtschaftliches Mittellohnland, was allerdings an der hohen Arbeitslosigkeit von rund 16% (Stand 2008) nichts geändert hat. Zudem hat sich die dominikanische Wirtschaft seit 2007, beeinflusst von der sich abschwächenden Weltwirtschaft, leicht abgekühlt. Festzustellen ist auch, dass die Transferzahlungen von im Ausland lebenden Staatsbürgern mit einem beträchtlichen Anteil - im Jahr 2008 waren es 6,8% - zum Bruttoinlandprodukt beitragen (Quellen: Webseite des deutschen Auswärtigen Amtes: www.auswaertiges-amt.de, Länder, Reisen und Sicherheit &gt; Dominikanische Republik &gt; Wirtschaft, Stand: Februar 2010; Webseite der Weltbank: www.worldbank.org, countries &gt; Dominican Republic &gt; Data &amp; Statistics &gt; Country Data Profile, beide Seiten besucht im Oktober 2010). Die Tendenz zur Auswanderung aus der Dominikanischen Republik ist - wohl nicht zuletzt aufgrund der angespannten Verhältnisse auf dem Arbeitsmarkt - insbesondere in Kreisen der jüngeren, arbeitsfähigen Bevölkerung ungebrochen. Dabei gelten vor allem Nordamerika und Europa als Wunschdestinationen. Im Falle der Schweiz wird dabei nicht selten versucht, sich ein soziales Beziehungsnetz (Verwandte oder Freunde) zunutze zu machen, wo ein solches bereits besteht.</w:t>
      </w:r>
    </w:p>
    <w:p>
      <w:r>
        <w:rPr>
          <w:b/>
        </w:rPr>
        <w:t>E. 6.3</w:t>
      </w:r>
    </w:p>
    <w:p>
      <w:r>
        <w:t>Der Rechtsvertreter wirft der Vorinstanz in diesem Zusammenhang vor, nicht rechtskonform gehandelt zu haben, indem sie die Beschwerdeführer nicht von Anfang an darauf hingewiesen habe, dass Einreisegesuche von "gewöhnlichen" Bürgern aus der Dominikanischen Republik oder aus Afrika generell nicht bewilligt würden, und nur Professoren, Wissenschaftler, Führungspersonen aus der Wirtschaft- und Bankenwelt, Fussballer oder Künstler die Schweiz als Gäste vorübergehend besuchen dürften. Dazu ist klarzustellen, dass es in der Tat zu schematisch und nicht haltbar wäre, generell und ohne spezifische Anhaltspunkte ausschliesslich aufgrund der allgemeinen Lage in der Herkunftsregion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6.4</w:t>
      </w:r>
    </w:p>
    <w:p>
      <w:r>
        <w:t>Bei der Risikoanalyse sind aber nicht nur solch allgemeine Umstände und Erfahrungen, sondern auch, wie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So besteht denn auch für "gewöhnliche" Bürgerinnen und Bürger, die aus den erwähnten Regionen stammen, durchaus die Möglichkeit, eine Einreisebewilligung zu erhalten, sofern die persönlichen Verhältnisse auf eine fristgerechte Rückkehr ins Heimatland schliessen lassen.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7.1</w:t>
      </w:r>
    </w:p>
    <w:p>
      <w:r>
        <w:t>Der aus der Dominikanischen Republik stammende Beschwerdeführer ist 36-jährig und unverheiratet. Zu den familiären Verhältnissen wurden von den Beteiligten weder im Gesuchsverfahren noch auf Beschwerdeebene nähere Angaben gemacht, sondern lediglich angeführt, die (nicht näher bezeichneten) Familienangehörigen des Beschwerdeführers lebten in der Dominikanischen Republik. Es kann demnach nicht davon ausgegangen werden, im persönlichen oder familiären Umfeld des Beschwerdeführers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7.2</w:t>
      </w:r>
    </w:p>
    <w:p>
      <w:r>
        <w:t>Auch die wirtschaftlichen Verhältnisse bieten keine besondere Gewähr für eine fristgerechte Wiederausreise. Gemäss einer schon im Gesuchsverfahren zu den Akten gegebenen Arbeitsbestätigung vom 22. Februar 2010 soll der Beschwerdeführer seit dem 10. November 2008 als Autoverkäufer und Geschäftsführer der Firma "X._______" in Y._______ tätig sein und dabei monatlich 20'000 dominikanische Pesos verdienen (umgerechnet ca. Fr. 530.-). Die mit den Verhältnissen vor Ort bestens vertraute schweizerische Vertretung in Santo Domingo spricht denn auch von einem (auch für dominikanische Verhältnisse) höchst bescheidenen Einkommen. Dass der Beschwerdeführer sich mit seiner Erwerbstätigkeit bereits eine gefestigte Existenz hat aufbauen können, wird auf Beschwerdeebene zwar (implizit) behauptet, jedoch in keiner Weise belegt, und erscheint angesichts der wirtschaftlichen Verhältnisse in der Dominikanischen Republik als wenig wahrscheinlich. Vor diesem Hintergrund müssen die Vorbringen auf Beschwerdeebene, wonach genügend Garantien für eine fristgerechte Wiederausreise vorhanden seien, als nicht ausschlaggebend bezeichnet werden.</w:t>
      </w:r>
    </w:p>
    <w:p>
      <w:r>
        <w:rPr>
          <w:b/>
        </w:rPr>
        <w:t>E. 7.3</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von den Beschwerdeführern angerufenen Umstände - namentlich persönlicher Art - in der Heimat des Beschwerdeführers zu; solche Tatsachen lassen sich erfahrungs-gemäss von den schweizerischen Behörden, wenn überhaupt, nur mit erhöhtem Aufwand abklären (BGE 124 II 361 E. 2b S. 365, vgl. auch BGE 128 II 139 E. 2b S. 142 f.). Vorliegend wurde das erstinstanzliche Verfahren auf Antrag des Beschwerdeführers eingeleitet. Dass der Gewähr für eine fristgerechte Wiederausreise grosse Bedeutung zukommt, liegt bei einem Einreisevisum zu Besuchszwecken in der Natur der Sache und muss nicht speziell hervorgehoben werden. Der Beschwerdeführer hatte allen Anlass, seine beruflichen und familiären Verhältnisse möglichst vollständig offenzulegen und nach Möglichkeit auszuweisen. Das BFM stützte seinen anschliessenden negativen Entscheid denn auch auf die von den Beschwerdeführern eingereichten Dokumente und Auskünfte ab, wobei jenem alle entscheidsrelevanten Unterlagen vorlagen.</w:t>
      </w:r>
    </w:p>
    <w:p>
      <w:r>
        <w:rPr>
          <w:b/>
        </w:rPr>
        <w:t>E. 8.1</w:t>
      </w:r>
    </w:p>
    <w:p>
      <w:r>
        <w:t>Aufgrund dieser Erwägungen durfte die Vorinstanz zu Recht davon ausgehen, die fristgerechte Wiederausreise sei nicht hinreichend gewährleistet. Zwar lässt sich diese Prognose nicht zu einer gesicherten Feststellung verdichten; sie genügt indessen, um die Erteilung einer Einreisebewilligung, auf welche ohnehin kein Rechtsanspruch besteht, abzulehnen. An dieser Risikoeinschätzung vermag auch der Hinweis auf die von der Beschwerdeführerin als Gastgeberin verlangten Erklärungen und Garantien nichts zu ändern. Diese stellen zwar eine wesentliche, aber nicht die einzige Voraussetzung für die Visumerteilung dar. Bei fehlenden finanziellen Garantien wäre allerdings das Einreisebegehren allein schon aus diesem Grunde abzulehnen, weshalb sich eine Überprüfung dieser Garantien im Rahmen des formellen Verfahrens weder als willkürlich noch als überflüssig erweist. Zu betonen gilt es jedoch, dass die Integrität der Beschwerdeführerin in ihrer Eigenschaft als Gastgeberin nicht in Zweifel gezogen wird. In diesem Sinne kann auch ihre Zusicherung betreffend fristgerechter Rückkehr des Gastes nicht entscheidend sein: Bei der Abwägung des Risikos einer nicht fristgerechten Wiederausreise sind nämlich nicht so sehr die Einstellung und die Absichten der Gastgeberin, sondern in erster Linie das mögliche Verhalten des Gastes selbst von Bedeutung. Nur Letzterer ist in der Lage, hinreichend Gewähr für eine fristgerechte und anstandslose Wiederausreise zu bieten. Die Gastgeberin kann - wie dies in casu mit der Unterzeichnung einer Verpflichtungserklärung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 Auch die weiteren Ausführungen auf Beschwerdeebene sind nicht geeignet, zu einer von der Vorinstanz abweichenden, rechtlichen Würdigung zu gelangen. Den Beteiligten ist zuzumuten, ihre freundschaftliche Bezie-hung vorderhand anderweitig zu pflegen.</w:t>
      </w:r>
    </w:p>
    <w:p>
      <w:r>
        <w:rPr>
          <w:b/>
        </w:rPr>
        <w:t>E. 9</w:t>
      </w:r>
    </w:p>
    <w:p>
      <w:r>
        <w:t>Aus den dargelegten Gründen ist daher nicht zu beanstanden, dass die Vorinstanz das öffentliche Interesse sowie die Beachtung der geltenden Bestimmungen entsprechend gewichtete und dem Beschwerdeführer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10</w:t>
      </w:r>
    </w:p>
    <w:p>
      <w:r>
        <w:t>Dem Ausgang des Verfahrens entsprechend werden die unterliegenden Beschwerdeführer kostenpflichtig (Art. 63 Abs. 1 VwVG). Die Verfahrenskosten sind auf Fr. 700.-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