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C-3706/2013 vom 19. August 2014</w:t>
      </w:r>
    </w:p>
    <w:p>
      <w:r>
        <w:t>Bundesverwaltungsgericht, 2014-08-19, FR</w:t>
      </w:r>
    </w:p>
    <w:p>
      <w:r>
        <w:rPr>
          <w:b/>
        </w:rPr>
        <w:t xml:space="preserve">Quelle: </w:t>
      </w:r>
      <w:r>
        <w:t>https://mcp.opencaselaw.ch/entscheid/bvger_C-3706_2013</w:t>
      </w:r>
    </w:p>
    <w:p>
      <w:r>
        <w:t>FR: TAF C-3706/2013 du 19 août 2014</w:t>
      </w:r>
    </w:p>
    <w:p>
      <w:r>
        <w:t>IT: TAF C-3706/2013 del 19 agosto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la suppression de rente par décision du 2 octobre 2012 à compter du 30 novembre 2012.</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 En l'espèce, l'OAIE a rendu une décision de refus d'entrer en matière parce qu'il a estimé qu'il n'était pas établi de manière plausible que l'invalidité s'était modifiée de manière à influencer le droit aux prestations depuis la suppression de rente par décision du 2 octobre 2012 (AI pce 68). L'assurée elle-même fait valoir qu'elle a été hospitalisée le 11 juin 2013 et est inapte à reprendre une activité lucrative. Le Tribunal de céans constate que, vu la décision du 2 octobre 2012 entrée en force, il est établi qu'à cette date la recourante n'avait pas droit à une rente d'invalidité. Selon les pièces médicales versées au dossier qui confirment les diagnostics déjà connus en octobre 2012, à savoir des séquelles d'un accident vasculaire cérébral survenu en 2007 et une dépression chronique, il n'est pas établi de manière plausible que l'invalidité se soit modifiée de manière à influencer le droit aux prestations depuis la suppression de rente par décision du 2 octobre 2012. C'est donc à raison que l'OAIE n'est pas entré en matière sur la nouvelle demande dans la décision attaquée.</w:t>
      </w:r>
    </w:p>
    <w:p>
      <w:r>
        <w:rPr>
          <w:b/>
        </w:rPr>
        <w:t>E. 5.1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5.2</w:t>
      </w:r>
    </w:p>
    <w:p>
      <w:r>
        <w:t>Les frais de procédure, fixés à 400 francs, sont mis à la charge de la recourante (art. 63 al. 1 PA, applicable par le truchement de l'art. 37 LTAF). Ils sont prélevés sur l'avance de frais du même montant dont elle s'est acquittée au cours de l'instruction.</w:t>
      </w:r>
    </w:p>
    <w:p>
      <w:r>
        <w:rPr>
          <w:b/>
        </w:rPr>
        <w:t>E. 5.3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