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C-3698/2012 vom 20. Februar 2014</w:t>
      </w:r>
    </w:p>
    <w:p>
      <w:r>
        <w:t>Bundesverwaltungsgericht, 2014-02-20, DE</w:t>
      </w:r>
    </w:p>
    <w:p>
      <w:r>
        <w:rPr>
          <w:b/>
        </w:rPr>
        <w:t xml:space="preserve">Quelle: </w:t>
      </w:r>
      <w:r>
        <w:t>https://mcp.opencaselaw.ch/entscheid/bvger_C-3698_2012</w:t>
      </w:r>
    </w:p>
    <w:p>
      <w:r>
        <w:t>FR: TAF C-3698/2012 du 20 février 2014</w:t>
      </w:r>
    </w:p>
    <w:p>
      <w:r>
        <w:t>IT: TAF C-3698/2012 del 20 febbraio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 3.3.1 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3.2 Die Vorinstanz hat in der angefochtenen Verfügung die Ausschrei­bung des Einreiseverbots im SIS angeordnet. Nach Massgabe der Art. 21 und Art. 24 der Verordnung (EG) Nr. 1987/2006 vom 20. Dezember 2006 über die Einrichtung, den Betrieb und die Nutzung des Schengener Informa­tionssystems der zweiten Generation (SIS II), Abl. L 381 vom 28. Dezember 2006, S. 4 23 (nachfolgend SIS-II-Verordnung) - die per 9. April 2013 die in den hier relevanten Punkten gleichlautenden Art. 94 und Art. 96 des Übereinkommens vom 19. Juni 1990 zur Durchführung des Übereinkommens betreffend den schrittweisen Abbau der Kontrollen an den gemeinsamen Grenzen (Schengener Durchführungsübereinkom­men [SDÜ], Abl. L 239 vom 22. September 2000, S. 19-62) abgelöst ha­ben (vgl. den Beschluss des Rates 2013/158/EU vom 7. März 2013, Abl. L 87 vom 27. März 2013, S. 10 11 i.V.m. Art. 52 Abs. 1 SIS-II-Verordnung) -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 3.3 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des Ausländerrechts fallen unter diese Begriffsbestimmung und können als solche ein Einreiseverbot nach sich ziehen (vgl. Botschaft,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2725/2013 vom 4. November 2013 E. 3.3 mit Hinweis).</w:t>
      </w:r>
    </w:p>
    <w:p>
      <w:r>
        <w:rPr>
          <w:b/>
        </w:rPr>
        <w:t>E. 4.1</w:t>
      </w:r>
    </w:p>
    <w:p>
      <w:r>
        <w:t>Die Vorinstanz stützt das Einreiseverbot auf Art. 67 Abs. 2 Bst. a AuG. Der Beschwerdeführer sei in der Schweiz erwerbstätig gewesen, ohne im Besitze der erforderlichen Bewilligung zu sein, und er habe so gegen die öffentliche Sicherheit und Ordnung verstossen. Der Beschwerdeführer beruft sich hingegen darauf, lediglich auf Arbeitssuche gewesen zu sein und nicht gearbeitet zu haben.</w:t>
      </w:r>
    </w:p>
    <w:p>
      <w:r>
        <w:rPr>
          <w:b/>
        </w:rPr>
        <w:t>E. 4.2</w:t>
      </w:r>
    </w:p>
    <w:p>
      <w:r>
        <w:t>Vorliegend ergeben sich jedoch aus den Akten keine Hinweise darauf, welche die Ausführungen des Beschwerdeführers bestätigen würden. Der Beschwerdeführer gab am 12. Juni 2012 bekannt, dass er seit dem 4. Juni 2012 während täglich 5 bis 6 Stunden im Service gearbeitet und pro Stunde CHF 20.-- verdient habe. Zwar wurde bei der Befragung kein Dolmetscher beigezogen, jedoch bestätigte er seine Aussagen anlässlich der Befragung beim Migrationsamt des Kantons Basel-Stadt am folgenden Tag (vgl. Einvernahmeprotokoll S.2). Bei dieser Aussage kann es sich schwerlich um ein Missverständnis handeln, da ein Dolmetscher beigezogen wurde. Später in der Befragung stritt er hingegen ab, gearbeitet zu haben und brachte vor, lediglich auf Arbeitssuche gewesen zu sein. Dagegen spricht jedoch sein widersprüchliches Aussageverhalten und in untergeordneter Weise beispielsweise die Tatsache, dass bei der Kontrolle seine Jacke an einem Ort hing, wo Angestellte des Restaurants ihre Sachen aufbewahren. Zudem sagten Gäste und eine Person, welche gleichentags kontrolliert wurde, aus, dass der Beschwerdeführer im Restaurant gearbeitet habe. Auch wenn diese Aussagen nicht protokolliert worden sind, stellen sie doch ein weiteres Indiz für das deliktische Verhalten des Beschwerdeführers dar. Davon abgesehen wurde der Beschwerdeführer mit (rechtskräftigem) Strafbefehl vom 31. Mai 2013 der rechtswidrigen Einreise, des rechtswidrigen Aufenthalts und der Erwerbstätigkeit ohne Bewilligung schuldig erklärt und mit einer Geldstrafe von 90 Tagessätzen, unter Ansetzung einer Probezeit von zwei Jahren, und einer Busse von CHF 500.-- bestraft. Die strafurteilende Behörde sah es als erstellt an, dass der Beschwerdeführer in der Zeitspanne mindestens vom 4. bis 12. Juni 2012 ohne erforderliche Bewilligung illegal in der Schweiz eine unselbständige Erwerbstätigkeit ausgeübt hat, indem er täglich als Servicemitarbeiter im Restaurant "Y._______" an der B._______ in Basel gearbeitet habe. Da er zum Zwecke der Ausübung einer illegalen Erwerbstätigkeit in die Schweiz gelangt sei, sei er spätestens am 4. Juni 2012 ohne Bewilligung in die Schweiz eingereist und habe sich bis am 12. Juni 2012 illegal in der Schweiz aufgehalten.</w:t>
      </w:r>
    </w:p>
    <w:p>
      <w:r>
        <w:rPr>
          <w:b/>
        </w:rPr>
        <w:t>E. 4.3</w:t>
      </w:r>
    </w:p>
    <w:p>
      <w:r>
        <w:t>Mit diesen Ausführungen sieht es das Bundesverwaltungsgericht als erstellt an, dass der Beschwerdeführer gearbeitet hat ohne im Besitz der erforderlichen Bewilligung zu sein.</w:t>
      </w:r>
    </w:p>
    <w:p>
      <w:r>
        <w:rPr>
          <w:b/>
        </w:rPr>
        <w:t>E. 4.4</w:t>
      </w:r>
    </w:p>
    <w:p>
      <w:r>
        <w:t>Nicht von Belang für das vorliegende Verfahren ist zudem, dass das BFM die Fernhaltemassnahme verhängt hat, bevor der Strafbefehl ergangen ist. Das Einreiseverbot knüpft grundsätzlich nicht an die Erfüllung einer Strafnorm, sondern an das Vorliegen einer Polizeigefahr an. Ob eine solche besteht und wie sie zu gewichten ist, hat die Behörde in eigener Kompetenz unter Zugrundelegung spezifisch ausländerrechtlicher Kriterien zu beurteilen. Die Behörde ist deshalb in der Regel auch nicht gehalten, den rechtskräftigen Abschluss eines Strafverfahrens abzuwarten (vgl. Urteil des Bundesverwaltungsgerichts C-7510/2010 vom 20. November 2012 E. 5.2).</w:t>
      </w:r>
    </w:p>
    <w:p>
      <w:r>
        <w:rPr>
          <w:b/>
        </w:rPr>
        <w:t>E. 4.5</w:t>
      </w:r>
    </w:p>
    <w:p>
      <w:r>
        <w:t>Der Beschwerdeführer hat nach dem Gesagten durch die Ausübung einer Erwerbstätigkeit, ohne im Besitz der erforderlichen Bewilligung zu sein, hinreichenden Anlass für die Verhängung eines Einreiseverbots gemäss Art. 67 Abs. 2 Bst. a AuG gegeben. 55.1 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 5.2 Der Beschwerdeführer ging in der Schweiz ohne Bewilligung einer Erwerbstätigkeit nach und wurde deshalb weggewiesen. Aus dem manifestierten Verhalten des Beschwerdeführers wird auf eine Gefährdung der öffentlichen Sicherheit und Ordnung geschlossen. Das Einreiseverbot hat in erster Linie präventiven Charakter, um einer weiteren illegalen Erwerbstätigkeit des Beschwerdeführers entgegenzuwirken. Die Vorinstanz war demnach berechtigt, zur Abwendung künftiger Störungen ein Einreiseverbot zu verhängen.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(vgl. dazu Urteil des Bundesgerichts 2C_948/2011 vom 11. Juli 2012 E. 3.4.2 in fine). Überdies liegt eine spezialpräventive Zielsetzung der Massnahme darin, dass sie den Betroffenen ermahnt, bei einer allfälligen künftigen Wiedereinreise in die Schweiz nach Ablauf der Dauer des Einreiseverbots die für ihn geltenden Regeln einzuhalten (vgl. hierzu Urteil des Bundesverwaltungsgerichts C 2771/2010 vom 3. Februar 2012 E. 6.1). Es besteht somit ein gewichtiges öffentliches Interesse an der Fernhaltung des Beschwerdeführers. 5.3 Persönliche Interessen macht der Beschwerdeführer keine geltend. Er könnte allenfalls Besuche bei seinem Bruder vorbringen, womit er sinngemäss eine Verletzung seines Rechts auf Achtung des Privat- und Familienlebens nach Art. 8 der Konvention vom 4. November 1950 zum Schutze der Menschenrechte und Grundfreiheiten (EMRK, SR 0.101) und Art. 13 Abs. 1 der Bundesverfassung der Schweizerischen Eidgenossenschaft vom 18. April 1999 (BV,SR 101) rügen würde. 5.4 Diesbezüglich stellt sich zunächst die Frage, ob die Beziehung zwischen dem erwachsenen Beschwerdeführer und seinem Bruder ein Abhängigkeitsverhältnis darstellt und es sich überhaupt um eine schützenswerte familiäre Beziehung, d.h. um ein Familienleben im Sinne von Art. 8 EMRK handelt (vgl. dazu MARK E. Villiger, Handbuch der Europäischen Menschenrechtskonvention [EMRK], 2. Aufl., Zürich 1999, Rz 572 sowie BGE 125 II 521 E. 5 S. 529, BGE 120 Ib 257 E. 1d S. 261). Eine Abhängigkeit des Bruders vom Beschwerdeführer ergibt sich jedoch weder aus den Akten noch wird eine solche geltend gemacht. Letztlich kann diese Frage jedoch offen bleiben, denn die durch die Fernhaltemassnahme verursachte Beeinträchtigung erweist sich als eher geringfügig. Vor allem aber verfügt der in Mazedonien lebende Beschwerdeführer in der Schweiz über kein Aufenthaltsrecht, womit die Pflege regelmässiger persönlicher Kontakte zu seinem Bruder bereits daran scheitert. Die Wirkung des Einreiseverbots besteht zudem nicht darin, dass dem Beschwerdeführer während dessen Geltungsdauer Besuchsaufenthalte bei ihm nahe stehenden Personen in der Schweiz schlichtweg untersagt wären. Das Einreiseverbot kann auf begründetes Gesuch hin aus wichtigen Gründen befristet suspendiert werden (vgl. Art. 67 Abs. 5 AuG). Im Übrigen kann er den Kontakt zu seinem Bruder in der Schweiz auf andere Weise als durch Besuche in der Schweiz pflegen (Briefverkehr, Telefonate, Videotelefonie). Auch in Anbetracht dieser Umstände ist das Gewicht der privaten Interessen des Beschwerdeführers an der Möglichkeit, in die Schweiz einreisen zu können, als nicht erheblich einzustufen. 5.5 Eine Abwägung der gegenläufigen öffentlichen und privaten Interessen führt das Bundesverwaltungsgericht zum Schluss, dass das verhängte Einreiseverbot sowohl im Grundsatz als auch hinsichtlich seiner Dauer eine verhältnismässige und angemessene Massnahme zum Schutz der öffentlichen Sicherheit und Ordnung darstellt. 6.Die Vorinstanz hat in der angefochtenen Verfügung ferner die Ausschreibung des Einreiseverbots im SIS angeordnet. Der Beschwerdeführer ist nicht Bürger eines Mitgliedstaates der Europäischen Union. Aufgrund der Ausschreibung im SIS ist es ihm untersagt, den Schengen-Raum zu betreten. Der darin liegende Eingriff wird durch die Bedeutung des Falles gerechtfertigt (vgl. Art. 21 i.V.m. Art. 24 Abs. 3 SIS-II-VO). Dies gilt umso mehr, als die Schweiz im Geltungsbereich des Schengen-Rechts die Interessen der Gesamtheit aller Schengen-Staaten zu wahren hat (vgl. BVGE 2011/48 E. 6.1). Es bleibt den Schengen-Staaten unbenommen, der ausgeschriebenen Person bei Vorliegen besonderer Gründe die Einreise ins eigene Hoheitsgebiet zu gestatten (vgl. auch Art. 67 Abs. 5 AuG). Die Voraussetzungen für die Ausschreibung des Einreiseverbots sind demnach erfüllt. 7.Aus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