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C-3684/2007 vom 25. November 2008</w:t>
      </w:r>
    </w:p>
    <w:p>
      <w:r>
        <w:t>Bundesverwaltungsgericht, 2008-11-25, DE</w:t>
      </w:r>
    </w:p>
    <w:p>
      <w:r>
        <w:rPr>
          <w:b/>
        </w:rPr>
        <w:t xml:space="preserve">Quelle: </w:t>
      </w:r>
      <w:r>
        <w:t>https://mcp.opencaselaw.ch/entscheid/bvger_C-3684_2007</w:t>
      </w:r>
    </w:p>
    <w:p>
      <w:r>
        <w:t>FR: TAF C-3684/2007 du 25 novembre 2008</w:t>
      </w:r>
    </w:p>
    <w:p>
      <w:r>
        <w:t>IT: TAF C-3684/2007 del 25 novembre 2008</w:t>
      </w:r>
    </w:p>
    <w:p>
      <w:pPr>
        <w:pStyle w:val="Heading2"/>
      </w:pPr>
      <w:r>
        <w:t>Regeste</w:t>
      </w:r>
    </w:p>
    <w:p>
      <w:r>
        <w:t>Einreise</w:t>
      </w:r>
    </w:p>
    <w:p>
      <w:pPr>
        <w:pStyle w:val="Heading2"/>
      </w:pPr>
      <w:r>
        <w:t>Erwägungen</w:t>
      </w:r>
    </w:p>
    <w:p>
      <w:r>
        <w:rPr>
          <w:b/>
        </w:rPr>
        <w:t>E. 1.1</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den Übergangsbestimmungen richtet sich das Verfahren nach dem neuen Recht (Art. 126 Abs. 2 AuG), womit nach Art. 112 Abs. 1 AuG die allgemeinen Bestimmungen der Bundesrechtspflege anwendbar sind.</w:t>
      </w:r>
    </w:p>
    <w:p>
      <w:r>
        <w:rPr>
          <w:b/>
        </w:rPr>
        <w:t>E. 1.2</w:t>
      </w:r>
    </w:p>
    <w:p>
      <w:r>
        <w:t>Verfügungen der Vorinstanz betreffend Verweigerung der Einreisebewilligung unterliegen demnach der Beschwerde an das Bundesverwaltungsgericht (Art. 31, Art. 32 sowie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als Verfügungsadressat zur Beschwerde legitimiert; auf die frist- und formgerecht eingereichte Beschwerde ist einzutreten (Art. 48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 Gemäss Art. 126 Abs. 1 AuG bleibt auf Gesuche, die vor dem Inkraftreten des AuG eingereicht worden sind, aber das bisherige (materielle) Recht anwendbar.</w:t>
      </w:r>
    </w:p>
    <w:p>
      <w:r>
        <w:rPr>
          <w:b/>
        </w:rPr>
        <w:t>E. 2.2</w:t>
      </w:r>
    </w:p>
    <w:p>
      <w:r>
        <w:t>Da das der Beschwerde zugrunde liegende Gesuch um Einreise am 21. Februar 2007 eingereicht wurde, erfolgt die Beurteilung noch nach dem alten Recht. Einschlägig sind demnach das Bundesgesetz vom 26. März 1931 über Aufenthalt und Niederlassung der Ausländer (ANAG, BS 1 121, zum vollständigen Quellennachweis vgl. Ziff. I des Anhangs zum AuG) sowie die gestützt darauf erlassenen Durchführungsvorschriften (Art. 25 ANAG), insbesondere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 BGE 133 I 185 E. 2.3).</w:t>
      </w:r>
    </w:p>
    <w:p>
      <w:r>
        <w:rPr>
          <w:b/>
        </w:rPr>
        <w:t>E. 3.2</w:t>
      </w:r>
    </w:p>
    <w:p>
      <w:r>
        <w:t>Ausländerinnen und Ausländer benötigen zur Einreise in die Schweiz einen Pass und ein Visum, sofern sie nicht aufgrund besonderer Regelung von diesem Erfordernis ausgenommen sind (vgl. Art. 1 bis 5 VEA).</w:t>
      </w:r>
    </w:p>
    <w:p>
      <w:r>
        <w:rPr>
          <w:b/>
        </w:rPr>
        <w:t>E. 3.3</w:t>
      </w:r>
    </w:p>
    <w:p>
      <w:r>
        <w:t>Um ein Visum zu erhalten, müssen Ausländerinnen und Ausländer die in Art. 1 Abs. 2 VEA aufgeführten Voraussetzungen erfüllen. Gemäss Art. 1 Abs. 2 Bst. c VEA haben sie unter anderem Gewähr für eine fristgerechte Wiederausreise zu bieten. Das Visum ist aber beispielsweise auch dann zu verweigern, wenn begründete Zweifel am (deklarierten) Aufenthaltszweck bestehen (Art. 14 Abs. 2 Bst. c zweiter Halbsatz VEA).</w:t>
      </w:r>
    </w:p>
    <w:p>
      <w:r>
        <w:rPr>
          <w:b/>
        </w:rPr>
        <w:t>E. 3.4</w:t>
      </w:r>
    </w:p>
    <w:p>
      <w:r>
        <w:t>Die Zuständigkeit des Bundesamts für Migration für die Visumerteilung richtet sich nach Art. 18 VEA.</w:t>
      </w:r>
    </w:p>
    <w:p>
      <w:r>
        <w:rPr>
          <w:b/>
        </w:rPr>
        <w:t>E. 4.1</w:t>
      </w:r>
    </w:p>
    <w:p>
      <w:r>
        <w:t>Die Gesuchstellerin kann sich auf keine Ausnahmeregelung berufen; sie ist aufgrund ihrer Staatsangehörigkeit visumspflichtig. Die Vorinstanz verweigerte der Gesuchstellerin die Erteilung eines solchen Visums mit der Begründung, ihre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Nach mehr als zehn Jahren starken Wachstums und grosser Stabilität geriet die Dominikanische Republik im Jahre 2003 in eine schwere Wirtschaftskrise. Zu dieser Krise trug unter anderem die Insolvenz einer der grössten Geschäftsbanken bei. Die Inflationsrate betrug allein in jenem Jahr 42,7%. Die Wirtschaftskrise traf die Bevölkerung empfindlich; der Anteil der unter der Armutsgrenze lebenden dominikanischen Bevölkerung stieg um 582'278 auf 5,71 Mio. Personen, bei einer Gesamtbevölkerung von ca. 9 Mio. Personen (Quelle: www.auswaertiges-amt.de, Stand März 2006). Die Krise konnte zwar inzwischen überwunden werden; die Dominikanische Republik erreicht seit 2005 wiederum hohe Wachstumsraten wie in den 90er Jahren und die Arbeitslosenquote sank seit 2005 und betrug im Jahre 2006 noch knapp 16,2%. Diese erfreuliche Entwicklung vermag aber nicht darüber hinweg zu täuschen, dass sich die wirtschaftliche Situation der bedürftigen Schichten noch nicht spürbar verbessert hat. Deshalb wächst auch die Kritik der Bevölkerung, da das hohe Wachstum bisher nicht ausgereicht hat, um genügend neue Arbeitsplätze zu schaffen (Quelle: www.auswaertiges-amt.de, Stand Februar 2008). Vor dem Hintergrund der fortbestehenden ungünstigen Lebensverhältnisse ist nach wie vor ein starker Migrationsdruck feststellbar.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5</w:t>
      </w:r>
    </w:p>
    <w:p>
      <w:r>
        <w:t>In Anbetracht dieser schwierigen wirtschaftlichen und soziokulturellen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Bei der Risikoanalyse sind aber nicht nur solche allgemeinen Umstände und Erfahrungen, sondern auch sämtliche Gesichtspunkte des konkreten Einzelfalles zu berücksichtigen. Obliegt einem Gesuchsteller bzw. einer Gesuchstellerin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Gesuchstellerin handelt es sich um eine unverheiratete, 43-jährige Frau, welche gemäss ihren eigenen Angaben zusammen mit ihrer Schwester einen Coiffeursalon mit einer angestellten Coiffeuse betreibt, was ihr auch die Möglichkeit gebe, das Geschäft für einige Wochen zu verlassen. Obwohl nicht bezweifelt wird, dass sie ihren Lebensunterhalt in der Heimat mit dem Coiffeursalon bestreiten kann (nähere Angaben zu Erwerbseinkünften bzw. Vermögensverhältnissen sind keine gemacht worden), befindet sie sich anscheinend nicht in derart günstigen wirtschaftlichen Verhältnissen, welche das Risiko einer fristgerechten Wiederausreise aus beruflichen Gründen merklich vermindern könnten. Darüber hinaus zeigt die Erfahrung ganz allgemein, dass aufgrund des grossen Lohngefälles zwischen der Schweiz und der Dominikanischen Republik selbst ein für einheimische Verhältnisse guter Verdienst nicht nachhaltig davon abhalten kann, das Heimatland dauerhaft zu verlassen. An dieser Einschätzung vermag auch die Absichtserklärung der Gesuchstellerin, nach ihrem dreimonatigen Besuchsaufenthalt in der Schweiz ihren Coiffeursalon weiterbetreiben zu wollen, nichts zu ändern.</w:t>
      </w:r>
    </w:p>
    <w:p>
      <w:r>
        <w:rPr>
          <w:b/>
        </w:rPr>
        <w:t>E. 5.2</w:t>
      </w:r>
    </w:p>
    <w:p>
      <w:r>
        <w:t>Der Beschwerdeführer verweist ferner auf eine enge familiäre Beziehung zu ihrem inzwischen über 15-jährigen Kind in der Dominikanischen Republik, was die Gesuchstellerin motiviere, in die Heimat zurückzukehren. Dieses Argument vermag nach Ansicht des Bundesverwaltungsgerichts schon deshalb nicht zu überzeugen, weil der Umstand, dass gleich eine dreimonatige Landesabwesenheit geplant ist, nicht ohne weiteres darauf schliessen lässt, die Präsenz der Gesuchstellerin sei für die Belange ihrer Familie unverzichtbar. Aufgrund der Aktenlage ist eher davon auszugehen, die von ihr geleistete Unterstützung könne durchaus für längere Zeit auch auf andere Weise sichergestellt werden. Insofern darf bezweifelt werden, dass der Gesuchstellerin im Heimatland besondere familiäre Verpflichtungen obliegen, die sie ernsthaft von einer Emigration abzuhalten vermöchten. Vielmehr könnte die Absicht auszuwandern gar von der Hoffnung getragen sein, ihr in der Heimat lebendes Kind aus dem Ausland wirtschaftlich zu unterstützen und allenfalls später gar nachziehen zu können.</w:t>
      </w:r>
    </w:p>
    <w:p>
      <w:r>
        <w:rPr>
          <w:b/>
        </w:rPr>
        <w:t>E. 5.3</w:t>
      </w:r>
    </w:p>
    <w:p>
      <w:r>
        <w:t>Hinzu kommt, dass der Beschwerdeführer gegenüber der kantonalen Migrationsbehörde verlauten liess, er beabsichtige, die Gesuchstellerin während des geplanten Besuchsaufenthalts zu heiraten (vgl. die entsprechende Antwort des Beschwerdeführers vom 15. März 2007 auf dem Auskunftsbogen des Migrationsamts Kanton Aargau). Insofern bestehen begründete Zweifel am angegeben Aufenthaltszweck (Besuchsaufenthalt; vgl. Art. 11 Abs. 1 Bst. b i.V.m. Art. 14 Abs. 2 Bst. c in fine VEA). Entgegen den Vorbringen des Beschwerdeführers geht es in diesem Zusammenhang nicht darum, eine Heirat durch Einreisebestimmungen zu verhindern. Wenn aber - wie im vorliegenden Fall - ein Visum für einen befristeten Besuchsaufenthalt beantragt wird, dessen Erteilung an eine fristgerechte Wiederausreise geknüpft ist, und der Besuch dann für eine Heirat benutzt würde, dann liegt es auf der Hand, dass eigentlich ein Daueraufenthalt in der Schweiz angestrebt wird, was eben nicht dem Zweck eines befristeten Besuchsaufenthalts entspricht. Einreisgesuche zwecks Eheabschluss richten sich nach eigenen Verfahren mit besonderen Zuständigkeiten (vgl. Art. 18 Abs. 1 zweiter Satz VEA bzw. neu Art. 23 Abs. 1 zweiter Satz VEV).</w:t>
      </w:r>
    </w:p>
    <w:p>
      <w:r>
        <w:rPr>
          <w:b/>
        </w:rPr>
        <w:t>E. 5.4</w:t>
      </w:r>
    </w:p>
    <w:p>
      <w:r>
        <w:t>Der Beschwerdeführer hat sich bereit erklärt, für die Lebensunterhaltskosten der Gesuchstellerin während des geplanten Besuchsaufenthalts aufzukommen. Gemäss Art. 7 Abs. 1 VEA umfasst die entsprechende Garantieerklärung auch allfällige Kosten für Unfall und Krankheit während des Besuchsaufenthalts sowie die Rückreisekosten, wobei die Garantiesumme Fr. 20'000.- beträgt (Art. 7 Abs. 3 VEA). Weitere Auflagen (z.B. Kaution und die Abgabe einer speziellen Garantie bezüglich der fristgerechten Wiederausreise) sind nicht vorgesehen. Der Beschwerdeführer verkennt dabei auch, dass in Bezug auf die Abwägung des Risikos einer nicht fristgerechten Wiederausreise nicht so sehr die Einstellung oder Ansichten des Gastgebers - abgesehen davon, dass er mit der beabsichtigten Heirat wohl einen dauernden Aufenthalt der Gesuchstellerin in der Schweiz anstrebt - sondern in erster Linie das mögliche Verhalten des Gastes selbst von Bedeutung ist.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Urteile des Bundesverwaltungsgerichts C-5488/2007 vom 19. August 2008 E. 5.3 und C-6493/2007 vom 9. Juni 2008 E. 5.3).</w:t>
      </w:r>
    </w:p>
    <w:p>
      <w:r>
        <w:rPr>
          <w:b/>
        </w:rPr>
        <w:t>E. 6</w:t>
      </w:r>
    </w:p>
    <w:p>
      <w:r>
        <w:t>Gestützt auf die vorstehenden Erwägungen ist somit nicht zu beanstanden, dass die Vorinstanz das öffentliche Interesse sowie die Beachtung der geltenden Bestimmungen entsprechend gewichtete und der Gesuchstellerin die Einreise verweigerte. Daraus folgt, dass die angefochtene Verfügung Bundesrecht nicht verletzt. Der rechtserhebliche Sachverhalt wurde richtig und vollständig festgestellt, und die Vorinstanz hat das ihr zustehende Ermessen pflichtgemäss und zutreffend gehandhabt (Art. 49 VwVG), weshalb es sich auch erübrigt, die Angelegenheit dem BFM zur Neubeurteilung zurückzuweisen. Die Beschwerde ist demzufolge vollumfänglich abzuweisen.</w:t>
      </w:r>
    </w:p>
    <w:p>
      <w:r>
        <w:rPr>
          <w:b/>
        </w:rPr>
        <w:t>E. 7</w:t>
      </w:r>
    </w:p>
    <w:p>
      <w:r>
        <w:t>Dem Ausgang des Verfahrens entsprechend sind dem Beschwerdeführer die Kosten aufzuerlegen (Art. 63 Abs. 1 VwVG). Diese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