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C-367/2006 vom 4. Dezember 2008</w:t>
      </w:r>
    </w:p>
    <w:p>
      <w:r>
        <w:t>Bundesverwaltungsgericht, 2008-12-04, FR</w:t>
      </w:r>
    </w:p>
    <w:p>
      <w:r>
        <w:rPr>
          <w:b/>
        </w:rPr>
        <w:t xml:space="preserve">Quelle: </w:t>
      </w:r>
      <w:r>
        <w:t>https://mcp.opencaselaw.ch/entscheid/bvger_C-367_2006</w:t>
      </w:r>
    </w:p>
    <w:p>
      <w:r>
        <w:t>FR: TAF C-367/2006 du 4 décembre 2008</w:t>
      </w:r>
    </w:p>
    <w:p>
      <w:r>
        <w:t>IT: TAF C-367/2006 del 4 dicembre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d'exception aux mesures de limitation prononcées par l'ODM (cf. art. 33 let. d LTAF) sont susceptibles de recours au TAF, qui statue définitivement (art. 1 al. 2 LTAF en relation avec l'art. 83 let. c ch. 5 de la loi du 17 juin 2005 sur le Tribunal fédéral [LTF, RS 173.110] applicable mutatis mutandis aux exceptions aux nombres maximums).</w:t>
      </w:r>
    </w:p>
    <w:p>
      <w:r>
        <w:rPr>
          <w:b/>
        </w:rPr>
        <w:t>E. 1.2</w:t>
      </w:r>
    </w:p>
    <w:p>
      <w:r>
        <w:t>Les affaires qui étaient pendantes devant les commissions fédérales de recours ou d'arbitrage ou devant les services de recours des départements au 31 décembre 2006 sont traitées par le Tribunal administratif fédéral dans la mesure où il est compétent. Le nouveau droit de procédure s'applique (cf. art. 53 al. 2 LTAF).</w:t>
      </w:r>
    </w:p>
    <w:p>
      <w:r>
        <w:rPr>
          <w:b/>
        </w:rPr>
        <w:t>E. 1.3</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De même, l'entrée en vigueur au 1er janvier 2008 de l'art. 91 de l'ordonnance du 24 octobre 2007 relative à l'admission, au séjour et à l'exercice d'une activité lucrative (OASA, RS 142.201) a eu pour conséquence l'abrogation de certaines ordonnances d'exécution de la LSEE, telle que notamment l'ordonnance du 6 octobre 1986 limitant le nombre des étrangers (OLE de 1986, RO 1986 1791).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1.4</w:t>
      </w:r>
    </w:p>
    <w:p>
      <w:r>
        <w:t>En revanche, conformément à l'art. 126 al. 2 LEtr, la procédure relative aux demandes déposées avant l'entrée en vigueur de la LEtr est régie par le nouveau droit. A moins que la LTAF n'en dispose autrement, la procédure devant le Tribunal est régie par la PA (art. 37 LTAF).</w:t>
      </w:r>
    </w:p>
    <w:p>
      <w:r>
        <w:rPr>
          <w:b/>
        </w:rPr>
        <w:t>E. 1.5</w:t>
      </w:r>
    </w:p>
    <w:p>
      <w:r>
        <w:t>A._______ a qualité pour recourir (cf. art. 48 al. 1 PA). Le recours, présenté dans la forme et le délai prescrits par la loi, est recevable (cf. art. 50 et art. 52 PA), sous réserve du contenu de la décision incidente du 29 septembre 2006.</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A cet égard, il fixe périodiquement des nombres maximums pour les résidents à l'année qui, pour la première fois, viennent exercer une activité lucrative ou en entreprennent une. En vertu de l'art. 13 let. f OLE, ne sont notamment pas comptés dans les nombres maximums les étrangers qui obtiennent une autorisation de séjour dans un cas personnel d'extrême gravité ou en raison de considérations de politique générale.</w:t>
      </w:r>
    </w:p>
    <w:p>
      <w:r>
        <w:rPr>
          <w:b/>
        </w:rPr>
        <w:t>E. 2.2</w:t>
      </w:r>
    </w:p>
    <w:p>
      <w:r>
        <w:t>Selon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visité le 15 octobre 2008; ATF 119 Ib 33 consid. 3a p. 39, traduit en français dans Journal des Tribunaux [JdT] 1995 I 226 consid. 3a p. 230, valable mutatis mutandis pour le nouveau droit).</w:t>
      </w:r>
    </w:p>
    <w:p>
      <w:r>
        <w:rPr>
          <w:b/>
        </w:rPr>
        <w:t>E. 3.1</w:t>
      </w:r>
    </w:p>
    <w:p>
      <w:r>
        <w:t>A titre préliminaire, le Tribunal, tenu d'agir selon la maxime officielle (cf. art. 62 al. 4 PA), constate que l'ODM a rendu une décision négative à l'encontre de l'intéressée sans l'avoir entendue préalablement, ce qui constitue une violation du droit d'être entendu.</w:t>
      </w:r>
    </w:p>
    <w:p>
      <w:r>
        <w:rPr>
          <w:b/>
        </w:rPr>
        <w:t>E. 3.2</w:t>
      </w:r>
    </w:p>
    <w:p>
      <w:r>
        <w:t>Ce droit,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lorsque cela est de nature à influer sur la décision à rendre (ATF 133 I 270 consid. 3.1 p. 277, ATF 132 V 368 consid. 3.1 p. 370s., ATF 129 II 497 consid. 2.2 p. 504s. et réf. citées).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p. 494ss, ATF 126 I 7 consid. 2b p. 10s., ATF 124 II 132 consid. 2b p. 137s. et jurisprudence citée). Cependant, le droit d'être entendu ne confère pas un droit de s'exprimer oralement devant l'organe de décision (ATF 134 I 140 consid. 5.3 p. 148, ATF 130 II 425 consid. 2.1 p. 428s. et réf. citées).</w:t>
      </w:r>
    </w:p>
    <w:p>
      <w:r>
        <w:rPr>
          <w:b/>
        </w:rPr>
        <w:t>E. 3.3</w:t>
      </w:r>
    </w:p>
    <w:p>
      <w:r>
        <w:t>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(cf. ATF 133 I 201 consid. 2.2 p. 204s., ATF 130 II 530 consid. 7.3 p. 562 et jurispr. citée).</w:t>
      </w:r>
    </w:p>
    <w:p>
      <w:r>
        <w:rPr>
          <w:b/>
        </w:rPr>
        <w:t>E. 3.4</w:t>
      </w:r>
    </w:p>
    <w:p>
      <w:r>
        <w:t>En l'espèce, l'ODM n'a certes donné à aucun moment à la recourante l'occasion de se déterminer sur les motifs de la décision qu'il envisageait de prendre à son endroit. Force est toutefois de constater que ce vice a été réparé dans le cadre de la procédure de recours introduite devant le Tribunal qui, disposant d'une pleine cognition, peut revoir aussi bien les questions de droit que les faits constatés par l'autorité inférieure, ou encore l'opportunité de la décision querellée (cf. art. 49 PA). En effet, au cours de la présente procédure, la recourante a eu l'occasion de se déterminer librement sur les arguments présentés par l'autorité inférieure, tant dans sa décision que dans son préavis (cf. le recours, la réplique et la prise de position subséquente déposés par la recourante).</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jurisprudence et doctrine citées).</w:t>
      </w:r>
    </w:p>
    <w:p>
      <w:r>
        <w:rPr>
          <w:b/>
        </w:rPr>
        <w:t>E. 4.3</w:t>
      </w:r>
    </w:p>
    <w:p>
      <w:r>
        <w:t>Selon la jurisprudence, le fait de renvoyer une femme seule dans son pays d'origine où elle n'a pas de famille n'est généralement pas propre à constituer un cas de rigueur au sens de l'art. 13 let. f OLE, à moins que ne s'y ajoutent d'autres circonstances qui rendent le retour extrêmement difficile (cf. arrêt du Tribunal fédéral [TF] 2A.245/2004 du 13 juillet 2004 consid. 4.2.2, et la jurisprudence citée). Un cas de rigueur peut notamment être réalisé lorsque, aux difficultés de réintégration dues à l'absence de famille dans le pays d'origine, s'ajoute le fait que l'intéressée est affectée d'importants problèmes de santé qui ne pourraient pas être soignés dans sa patrie (cf. ATF 128 II 200 consid. 5.2 p. 209), le fait qu'elle serait contrainte de regagner un pays (sa patrie) qu'elle avait quitté dans des circonstances traumatisantes (cf. arrêts du TF 2A.582/2003 du 14 avril 2004 consid. 3.1 et 2A.394/2003 du 16 janvier 2004 consid. 3.1), ou encore le fait qu'elle laisserait derrière elle une partie importante de sa proche parenté (parents, frères et soeurs) appelée à demeurer durablement en Suisse, avec qui elle a partagé pendant longtemps les mêmes vicissitudes de l'existence (cf. arrêts du TF 2A.92/2007 du 21 juin 2007 consid. 4.3 et 2A.340/2001 du 13 novembre 2001 consid. 4c). Inversement, une telle séparation pourra d'autant mieux être exigée que les perspectives de réintégration dans le pays d'origine apparaîtront plus favorables (cf. arrêts du TF 2A.245/2004 précité consid. 4.2.2 et 2A.183/2002 du 4 juin 2002 consid. 3.2, et la jurisprudence citée).</w:t>
      </w:r>
    </w:p>
    <w:p>
      <w:r>
        <w:rPr>
          <w:b/>
        </w:rPr>
        <w:t>E. 5.1</w:t>
      </w:r>
    </w:p>
    <w:p>
      <w:r>
        <w:t>En l'occurrence, la recourante ne séjourne en Suisse que depuis trois ans. Au vu de la brièveté de son séjour en Suisse, elle ne saurait se prévaloir de liens particulièrement étroits avec ce pays ni d'une intégration à ce point poussée qu'elle ne puisse plus raisonnablement envisager un retour aux Philippines, où elle a toujours vécu auparavant et a notamment passé son adolescence, à savoir les années qui sont décisives pour la formation de la personnalité (cf. ATF 123 II 125 consid. 5b/aa). A cela s'ajoute que l'intéressée a été scolarisée dans son pays d'origine, d'après les indications qu'elle a données dans son formulaire de demande de visa du 18 février 2005, où elle a mentionné être étudiante en deuxième année de collège. Il est donc indéniable qu'elle a des attaches sociales et culturelles importantes aux Philippines, contrairement à ce qu'elle soutient. Ainsi, dans la mesure où elle y a vécu jusqu'à l'âge de 20 ans, elle a la possibilité de s'y réintégrer, quand bien même sa proche famille ne s'y trouve plus, à l'exception de son père avec qui elle n'a cependant jamais eu de contacts. De plus, aujourd'hui âgée de 23 ans, la recourante est en mesure de mener une existence indépendante de sa mère (cf. à ce sujet ATF 120 Ib 257 consid. 1e-f p. 261s.). A cet égard, l'art. 13 let. f OLE n'a pas pour but d'étendre la notion de regroupement familial à des cas non couverts par les art. 7 et 17 LSEE et ne peut ainsi pas être invoqué pour permettre à des enfants majeurs de vivre en Suisse uniquement parce que leurs parents y séjournent (cf. arrêt du TF 2A.598/2002 du 10 juillet 2003 consid. 3.2 et réf. citées). Aussi, le Tribunal administratif fédéral ne saurait déduire de la simple évolution des circonstances familiales de la recourante une raison suffisante de l'exempter des mesures de limitation de l'art. 13 let. f OLE. D'autre part, force est de constater que le fait que la mère de l'intéressée vit actuellement en Suisse et non plus aux Philippines, résulte d'un choix librement consenti et que, de ce point de vue, la situation de la recourante n'est pas différente de celle des autres étrangers dont les parents, ou un des parents, ont choisi d'émigrer sans leurs enfants. Par ailleurs, la recourante ne saurait prétendre que son retour la contraindrait à laisser derrière elle une partie importante de sa proche parenté avec qui elle a partagé pendant longtemps les mêmes vicissitudes de l'existence, étant donné qu'elle a déjà vécu séparée de sa mère de 1994 à 2005. Enfin, un retour aux Philippines ne signifierait pas la rupture des contacts avec sa famille puisque les intéressées pourraient continuer, comme elles l'ont fait jusqu'en 2005, à entretenir des contacts réguliers.</w:t>
      </w:r>
    </w:p>
    <w:p>
      <w:r>
        <w:rPr>
          <w:b/>
        </w:rPr>
        <w:t>E. 5.2</w:t>
      </w:r>
    </w:p>
    <w:p>
      <w:r>
        <w:t>En conséquence, l'examen de l'ensemble des éléments de la présente cause amène le Tribunal à la conclusion que la recourante ne se trouve pas dans une situation d'extrême gravité au sens de l'art. 13 let. f OLE.</w:t>
      </w:r>
    </w:p>
    <w:p>
      <w:r>
        <w:rPr>
          <w:b/>
        </w:rPr>
        <w:t>E. 6</w:t>
      </w:r>
    </w:p>
    <w:p>
      <w:r>
        <w:t>Par sa décision du 26 juin 2006, l'autorité de première instance n'a ni violé le droit fédéral, ni constaté des faits pertinents de manière inexacte ou incomplète ; en outre, cette décision n'est pas inopportune (art. 49 PA). Le recours doit par conséquent être rejeté, dans la mesure où il est recevable.</w:t>
      </w:r>
    </w:p>
    <w:p>
      <w:r>
        <w:rPr>
          <w:b/>
        </w:rPr>
        <w:t>E. 7</w:t>
      </w:r>
    </w:p>
    <w:p>
      <w:r>
        <w:t>Vu l'issue de la cause, il y a lieu de mettre les frais de procédure, d'un montant de Fr. 700.-, à la charge de la recourante,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