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C-3679/2022 vom 6. Oktober 2022</w:t>
      </w:r>
    </w:p>
    <w:p>
      <w:r>
        <w:t>Bundesverwaltungsgericht, 2022-10-06, DE</w:t>
      </w:r>
    </w:p>
    <w:p>
      <w:r>
        <w:rPr>
          <w:b/>
        </w:rPr>
        <w:t xml:space="preserve">Quelle: </w:t>
      </w:r>
      <w:r>
        <w:t>https://mcp.opencaselaw.ch/entscheid/bvger_C-3679_2022</w:t>
      </w:r>
    </w:p>
    <w:p>
      <w:r>
        <w:t>FR: TAF C-3679/2022 du 6 octobre 2022</w:t>
      </w:r>
    </w:p>
    <w:p>
      <w:r>
        <w:t>IT: TAF C-3679/2022 del 6 ottobre 2022</w:t>
      </w:r>
    </w:p>
    <w:p>
      <w:pPr>
        <w:pStyle w:val="Heading2"/>
      </w:pPr>
      <w:r>
        <w:t>Regeste</w:t>
      </w:r>
    </w:p>
    <w:p>
      <w:r>
        <w:t>Marktüberwachung</w:t>
      </w:r>
    </w:p>
    <w:p>
      <w:pPr>
        <w:pStyle w:val="Heading2"/>
      </w:pPr>
      <w:r>
        <w:t>Erwägungen</w:t>
      </w:r>
    </w:p>
    <w:p>
      <w:r>
        <w:rPr>
          <w:b/>
        </w:rPr>
        <w:t>E. 1</w:t>
      </w:r>
    </w:p>
    <w:p>
      <w:r>
        <w:t>April 2020 E. 4 mit Hinweis auf BGE 141 II 429 E. 3.1 und BGE 134 V 49 E. 4 und 5; 9C_352/2019 vom 26. Juni 2019),</w:t>
      </w:r>
    </w:p>
    <w:p>
      <w:r>
        <w:t>C-3679/2022 Seite 3 dass die Beschwerdeführerin den Vorschuss innert der gesetzten Frist bis zum 28. September 2022 nicht geleistet hat (BVGer-act. 4), dass sie ausserdem weder vor Ablauf der Frist ein Fristverlängerungsge- such noch nach Ablauf der Frist ein Fristwiederherstellungsgesuch gestellt hat, dass somit androhungsgemäss und im einzelrichterlichen Verfahren auf die Beschwerde nicht einzutreten ist (Art. 23 Abs. 1 Bst. b VGG), dass die Verfahrenskosten jedoch ganz oder teilweise erlassen werden können, wenn Gründe in der Sache oder in der Person der Partei es – wie vorliegend – als unverhältnismässig erscheinen lassen, diese der Partei aufzuerlegen (Art. 6 Bst. b des Reglements vom 21. Februar 2008 über die Kosten und Entschädigungen vor dem Bundesverwaltungsgericht [VGKE, SR 173.320.2]), dass keine Parteientschädigungen auszurichten sind (Art. 7 Abs. 1 VGKE e contrario und Art. 7 Abs. 3 VGKE).</w:t>
      </w:r>
    </w:p>
    <w:p>
      <w:r>
        <w:rPr>
          <w:b/>
        </w:rPr>
        <w:t>E. 2</w:t>
      </w:r>
    </w:p>
    <w:p>
      <w:r>
        <w:t>Es werden keine Verfahrenskosten erhoben.</w:t>
      </w:r>
    </w:p>
    <w:p>
      <w:r>
        <w:rPr>
          <w:b/>
        </w:rPr>
        <w:t>E. 3</w:t>
      </w:r>
    </w:p>
    <w:p>
      <w:r>
        <w:t>Es werden keine Parteientschädigungen zugesprochen.</w:t>
      </w:r>
    </w:p>
    <w:p>
      <w:r>
        <w:rPr>
          <w:b/>
        </w:rPr>
        <w:t>E. 4</w:t>
      </w:r>
    </w:p>
    <w:p>
      <w:r>
        <w:t>Dieses Urteil geht an die Beschwerdeführerin, die Vorinstanz und das Eidgenössische Departement für Verteidigung, Bevölkerungsschutz und Sport. Der Einzelrichter: Die Gerichtsschreiberin: Beat Weber Tanja Jaenke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