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C-3678/2010 vom 13. Oktober 2009</w:t>
      </w:r>
    </w:p>
    <w:p>
      <w:r>
        <w:t>Bundesverwaltungsgericht, 2009-10-13, FR</w:t>
      </w:r>
    </w:p>
    <w:p>
      <w:r>
        <w:rPr>
          <w:b/>
        </w:rPr>
        <w:t xml:space="preserve">Quelle: </w:t>
      </w:r>
      <w:r>
        <w:t>https://mcp.opencaselaw.ch/entscheid/bvger_C-3678_2010</w:t>
      </w:r>
    </w:p>
    <w:p>
      <w:r>
        <w:t>FR: TAF C-3678/2010 du 13 octobre 2009</w:t>
      </w:r>
    </w:p>
    <w:p>
      <w:r>
        <w:t>IT: TAF C-3678/2010 del 13 ottobre 2009</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p. 3531; voir également ATF 135 II 1 consid. 1.1).</w:t>
      </w:r>
    </w:p>
    <w:p>
      <w:r>
        <w:rPr>
          <w:b/>
        </w:rPr>
        <w:t>E. 4</w:t>
      </w:r>
    </w:p>
    <w:p>
      <w:r>
        <w:t>Les dispositions sur la procédure en matière de visa ainsi que sur l'entrée en Suisse et la sortie de Suisse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Du fait de sa nationalité, C._______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de la requérante.</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6.4</w:t>
      </w:r>
    </w:p>
    <w:p>
      <w:r>
        <w:t>A ce sujet, il faut prendre en considération la qualité de vie et les conditions économiques et sociales difficiles que connaît l'ensemble de la population en Ethiopie, pays qui, avec une population de 85,2 millions de personnes et un produit intérieur brut (PIB) par habitant de 317 USD (2008), est l'un des Etats les plus pauvres du monde. Ainsi, l'Ethiopie se situe au classement de l'indice de développement humain à la 169ème place sur 179 pays (PNUD, Human Development Index 2008). Sur le plan économique, la situation a d'abord été gravement affectée par la guerre avec l'Erythrée, qui a provoqué au moins 100'000 morts de mai 1998 à juin 2000, puis elle s'est progressivement relevée, mais à fin 2008, l'Ethiopie a été fortement touchée par la crise économique mondiale et la hausse des prix pétroliers et alimentaires. Cette nouvelle crise a eu pour principale conséquence une nette accélération de l'inflation de plus de 40% en moyenne annuelle. La chute des réserves de change qui s'en est suivi a eu pour conséquence un resserrement de l'accès aux devises, qui pénalise nombre d'opérateurs économiques. La situation alimentaire est caractérisée par un déficit chronique, en particulier dans certaines régions du pays (Ogaden, pays Oromo), plus vulnérables sur le plan climatique. Or, si la part de l'agriculture dans le PIB est de 41%, ce secteur fait vivre 80% de la population. En 2008, en raison de mauvaises récoltes, de la sécheresse et de la hausse mondiale des prix des matières premières, les agences humanitaires estimaient qu'en plus des 5,7 millions de résidents déjà couverts par le programme d'assistance éthiopien, plus de 6 millions d'Ethiopiens nécessitaient une aide humanitaire d'urgence [source: site internet du Ministère français des affaires étrangères: www.diplomatie.gouv.fr &gt; France-Diplomatie &gt; Pays-zones géo &gt; Ethiopie &gt; Présentation &gt; Données générales &gt; Données économiques et Situation économique; consulté le 5 janvier 2011]). Dès lors, ces conditions économiques ne manquent pas d'exercer une pression migratoire importante, cette tendance étant encore renforcée, comme l'expérience l'a démontré, lorsque la personne concernée peut s'appuyer à l'étranger sur un réseau social (parents, amis) préexistant.</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Il ressort des indications du dossier que C._______, célibataire, âgée de vingt-sept ans, qui suivait sa dernière année d'école d'infirmière lors du dépôt de sa demande, n'a jamais voyagé dans l'Espace Schengen. Selon les allégations des recourants (cf. recours du 22 mai 2010), leur invitée est la tutrice d'une nièce, âgée de quinze ans, dont la mère est décédée; elle serait également fiancée à un pilote de ligne. Les recourants font aussi valoir que C._______, du fait qu'elle est sur le point d'achever ses études d'infirmière, pourra travailler comme infirmière salariée dans son pays. Même s'il convient d'admettre que des éléments tels que ceux invoqués peuvent, dans une certaine mesure, inciter une personne, au terme du séjour envisagé en Suisse, à retourner dans le pays où elle réside, ces liens ne sauraient dans le cas d'espèce et dans le contexte socio-économique dans lequel se trouve l'Ethiopie, suffire toutefois à garantir le retour de l'intéressée dans ce pays. Pareille crainte apparaît d'autant plus fondée que l'invitée devrait avoir actuellement terminé sa formation d'infirmière et qu'il ne ressort pas du dossier qu'elle exerce un emploi au pays. Dans ces circonstances, il ne peut être exclu qu'elle tente de prolonger son séjour en Suisse, du moins de manière temporaire soit pour y prendre un emploi, soit pour y compléter sa formation, d'autant moins que cela ne lui occasionnerait pas de difficultés majeures sur les plans personnel, familial ou professionnel. Sur ces derniers points, il appert, comme relevé ci-dessus, que l'invitée n'a pas d'attaches professionnelles pouvant l'amener à retourner en Ethiopie en cas de voyage à l'étranger. Sur le plan familial, les recourants ont indiqué qu'elle serait la fiancée d'un pilote de ligne, sans toutefois apporter de preuve de telles allégations. Par ailleurs, même si elle est la tutrice de sa nièce, âgée de quinze ans, il n'est pas démontré que cette dernière est dépendante de C._______ au point que son absence entraînerait pour elle des difficultés particulières. Enfin, nonobstant le fait que C._______ et sa pupille soient titulaires de comptes bancaires, il n'en demeure pas moins qu'elles sont aidées financièrement par leur famille résidant en Suisse (cf. recours du 22 mai 2010). Ainsi, compte tenu de la différence de niveau de vie entre l'Ethiopie et la Suisse, les autorités helvétiques ne peuvent donc totalement exclure que l'invitée ne s'efforce, une fois entrée en ce pays, d'obtenir un titre de séjour dans l'espoir d'y trouver, fût-ce de manière temporaire, des conditions d'existence meilleures, malgré les assurances contraires qui ont été données dans le cadre du recours. Cette hypothèse peut en l'espèce être d'autant moins écartée que l'intéressée dispose en Suisse d'un réseau social bien établi (cf. consid. 6.4).</w:t>
      </w:r>
    </w:p>
    <w:p>
      <w:r>
        <w:rPr>
          <w:b/>
        </w:rPr>
        <w:t>E. 8</w:t>
      </w:r>
    </w:p>
    <w:p>
      <w:r>
        <w:t>Les conditions d'entrée prévues par le code frontières Schengen concernant les garanties que l'invitée quittera le pays dans le délai fixé n'étant pas remplies in casu, c'est donc de manière justifiée que l'ODM a écarté la demande de C._______. Cela étant, le désir exprimé par cette dernière de venir en Suisse pour rendre visite à sa soeur et à la famille de celle-ci ne constitue pas à lui seul un motif justifiant l'octroi d'un visa, à propos duquel elle ne saurait au demeurant se prévaloir d'aucun droit (cf. consid. 3).</w:t>
      </w:r>
    </w:p>
    <w:p>
      <w:r>
        <w:rPr>
          <w:b/>
        </w:rPr>
        <w:t>E. 9</w:t>
      </w:r>
    </w:p>
    <w:p>
      <w:r>
        <w:t>Les recourants insistent dans leur pourvoi sur le fait qu'ils se portent garants de leur invitée. Assurément, le Tribunal n'entend nullement mettre en doute la bonne foi ou la droiture des recourants. Il sied à ce sujet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momentanément son séjour. Pareillement, les recourants se sont également déclarés disposés à verser une garantie financière (cf. recours du 22 mai 2010). S'agissant de ce dernier point, même si la loi (art. 6 al. 3 LEtr) prévoit qu'une déclaration de prise en charge, une caution ou tout autre garantie peuvent être exigées, il convient derechef de relever que l'évaluation des risques concernant le retour de l'invitée dans son pays repose moins sur le dépôt de telles garanties par les invitants que sur le comportement de l'intéressée elle-même une fois en Suisse. A cet égard,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10</w:t>
      </w:r>
    </w:p>
    <w:p>
      <w:r>
        <w:t>Enfin, il convient encore de noter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11</w:t>
      </w:r>
    </w:p>
    <w:p>
      <w:r>
        <w:t>Compte tenu des considérants exposés ci-dessus, il appert que, par sa décision du 23 avril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