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C-3678/2009 vom 18. März 2011</w:t>
      </w:r>
    </w:p>
    <w:p>
      <w:r>
        <w:t>Bundesverwaltungsgericht, 2011-03-18, FR</w:t>
      </w:r>
    </w:p>
    <w:p>
      <w:r>
        <w:rPr>
          <w:b/>
        </w:rPr>
        <w:t xml:space="preserve">Quelle: </w:t>
      </w:r>
      <w:r>
        <w:t>https://mcp.opencaselaw.ch/entscheid/bvger_C-3678_2009</w:t>
      </w:r>
    </w:p>
    <w:p>
      <w:r>
        <w:t>FR: TAF C-3678/2009 du 18 mars 2011</w:t>
      </w:r>
    </w:p>
    <w:p>
      <w:r>
        <w:t>IT: TAF C-3678/2009 del 18 marzo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(RO 2077 5129, FF 2005 4215), entrées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y a une incapacité de gain que si elle n'est pas subjectivement surmontable (art. 7 al. 2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 1er juin 2002, les ressortissants suisses et de l'Union européenne qui présentent un degré d'invalidité de 40% au moins ont droit à un quart de rente en application de l'art. 28 al. 2 LAI s'ils ont leur domicile et leur résidence habituelle dans un Etat membre de l'UE.</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w:t>
      </w:r>
    </w:p>
    <w:p>
      <w:r>
        <w:rPr>
          <w:b/>
        </w:rPr>
        <w:t>E. 4.4</w:t>
      </w:r>
    </w:p>
    <w:p>
      <w:r>
        <w:t>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(méthode spécifique). Si l'assuré exerçait une activité à temps partiel il convient de pondérer les deux méthodes (méthode mixte) en fonction du temps alors attribué à l'activité lucrative et aux activités domestiques (art. 28a al. 3 LAI et 27bis RAI).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5.2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5.3</w:t>
      </w:r>
    </w:p>
    <w:p>
      <w:r>
        <w:t>L'art. 88a al. 1 du règlement du 17 janvier 1961 sur l'assurance 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6.2</w:t>
      </w:r>
    </w:p>
    <w:p>
      <w:r>
        <w:t>En l'occurrence, la recourante a été mise au bénéfice d'une rente entière d'invalidité par décision du 19 février 2001 de l'OAI-VD. Lors d'une procédure de révision (décembre 2003), l'OAIE a confirmé son droit à la rente entière d'invalidité après avoir procédé à un examen matériel approfondi. La question de savoir si le degré d'invalidité a subi une modification doit donc être jugée en comparant les faits tels qu'ils se présentaient au 13 juillet 2004 (date de la communication que la rente restait inchangée) et ceux qui ont existé jusqu'au 11 mai 2009, date de la décision litigieuse.</w:t>
      </w:r>
    </w:p>
    <w:p>
      <w:r>
        <w:rPr>
          <w:b/>
        </w:rPr>
        <w:t>E. 7</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Au vu de ce qui précède, le Tribunal administratif fédéral, en application de l'art. 61 PA, doit admettre partiellement le recours, annuler la décision entreprise et renvoyer le dossier à l'OAIE afin qu'il établisse par tous les moyens utiles, notamment un rapport oncologique, les information nécessaires à une évaluation de la capacité de travail de l'intéressée dans des activités raisonnablement exigibles, fixe le taux d'invalidité sur la base d'une comparaison de revenu et rende, après la procédure d'audition, une nouvelle décision.</w:t>
      </w:r>
    </w:p>
    <w:p>
      <w:r>
        <w:rPr>
          <w:b/>
        </w:rPr>
        <w:t>E. 8.2</w:t>
      </w:r>
    </w:p>
    <w:p>
      <w:r>
        <w:t>L'OAIE a réduit le droit aux prestations de l'assurée en se fondant essentiellement sur le rapport E 213 du 9 décembre 2008, le rapport d'examen psychiatrique du Dr B._______ et la prise de position médicale du médecin de l'OAIE du 26 janvier 2009. Or, il sied de relever que dans le rapport E 213, le médecin de l'ISS a retenu une capacité de travail totale dans une activité légère. Il a constaté une limitation de la mobilité de la colonne vertébrale due à l'obésité, une bonne mobilité des membres inférieurs, une mobilité sans limitation significative des membres supérieurs, des mouvements et une marche sans particularité. Du point de vue psychique, il a relevé que l'assurée était calme et collaborante retenant uniquement une anxiété dans son diagnostic. Cette conclusion est corroborée par les constatations du Dr B._______, psychiatre, qui met en évidence la présence de troubles de l'adaptation avec perturbations mixtes des émotions et du comportement, réactionnels à des problèmes familiaux, qui ne justifient toutefois pas d'incapacité de travail. Même dans le rapport E 213 du 3 février 2008, l'état émotionnel et mental est jugé normal et il n'en est plus fait mention dans le diagnostic de pathologies psychiatriques. Du point de vu oncologique, la Dresse E._______ qui, encore dans son rapport du 25 février 2009, relevait qu'au contrôle effectué en novembre 2008 la recourante présentait des marqueurs tumoraux normaux et ne présentait aucun indice qui pouvait laisser suspecter une récidive, dans son rapport du 12 juin 2009 suite à un contrôle effectué le 20 mai précédent, a indiqué que, bien que les marqueurs tumoraux étaient normaux, la patiente présentait de multiples adénopathies palpables au niveau sus-claviculaire bilatéral confirmées par échographie et qu'une cytoponction était prévue pour éclaircir la situation. Or, le médecin de l'OAIE, bien qu'ayant relevé dans sa prise de position du 13 août 2009 que ce nouvel élément pouvait évoquer une possible récidive du cancer, n'a pas modifié ses conclusions.</w:t>
      </w:r>
    </w:p>
    <w:p>
      <w:r>
        <w:rPr>
          <w:b/>
        </w:rPr>
        <w:t>E. 8.3</w:t>
      </w:r>
    </w:p>
    <w:p>
      <w:r>
        <w:t>La Cours de céans constate, au vu de ce qui précède, qu'aucun document médical complet et objectif postérieur à celui du 25 février 2009 n'a été produit concernant l'évolution de l'atteinte oncologique. Or, le rapport oncologique du 12 juin 2009 relatif à un contrôle du 20 mai précédent, bien que postérieur de quelques jours à la date de la décision litigieuse, ne permet pas d'exclure avec certitude que pendant le laps de temps qui court entre le dernier contrôle de novembre 2008 et le 11 mai 2009, date de la décision attaquée qui limite le pouvoir d'examen du Tribunal, la maladie n'ait pas évolué. Ces investigations apparaissaient nécessaires, afin de déterminer si l'amélioration de l'état de santé de la recourante justifiant la réduction des prestations pouvait être considérée comme durable, d'autant plus que des métastases axiliaires et claviculaires à gauche avaient déjà été traités par chimiothérapie en 2001, alors que la recourante se trouvait encore en Suisse.</w:t>
      </w:r>
    </w:p>
    <w:p>
      <w:r>
        <w:rPr>
          <w:b/>
        </w:rPr>
        <w:t>E. 9.1</w:t>
      </w:r>
    </w:p>
    <w:p>
      <w:r>
        <w:t>Vu l'issue de la procédure, il n'est pas perçu de frais de procédure (art. 63 al. 1 et 2 PA; art. 6 let b du règlement du 21 février 2008 concernant les frais, dépens et indemnités fixés par le Tribunal administratif fédéral [FITAF, RS 173.320.2]). L'avance de frais de Fr. 300.- versée par la recourante lui sera remboursée.</w:t>
      </w:r>
    </w:p>
    <w:p>
      <w:r>
        <w:rPr>
          <w:b/>
        </w:rPr>
        <w:t>E. 9.2</w:t>
      </w:r>
    </w:p>
    <w:p>
      <w:r>
        <w:t>Bien que la recourante ait obtenu gain de cause, elle n'a eu ni recours à un mandataire professionnel ni encouru de frais particulièrement élevés et nécessaires à la cause, de sorte qu'il ne lui est allouée aucune indemnité à titre de dépens (art 64 al. 1 PA; art. 7 et art. 14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