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C-3675/2015 vom 20. Februar 2017</w:t>
      </w:r>
    </w:p>
    <w:p>
      <w:r>
        <w:t>Bundesverwaltungsgericht, 2017-02-20, DE</w:t>
      </w:r>
    </w:p>
    <w:p>
      <w:r>
        <w:rPr>
          <w:b/>
        </w:rPr>
        <w:t xml:space="preserve">Quelle: </w:t>
      </w:r>
      <w:r>
        <w:t>https://mcp.opencaselaw.ch/entscheid/bvger_C-3675_2015</w:t>
      </w:r>
    </w:p>
    <w:p>
      <w:r>
        <w:t>FR: TAF C-3675/2015 du 20 février 2017</w:t>
      </w:r>
    </w:p>
    <w:p>
      <w:r>
        <w:t>IT: TAF C-3675/2015 del 20 febbraio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2quater sowie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20. Mai 2015 (act. 113) ist der Beschwerdeführer berührt und hat ein schutzwürdiges Interesse an deren Aufhebung oder Änderung (vgl. Art. 48 Abs. 1 VwVG). Nachdem auch der Kostenvorschuss von Fr. 400.- fristgerecht überwiesen worden war (B-act. 5), ergibt sich zusammenfassend, dass sämtliche Prozessvoraussetzungen erfüllt sind. Auf die Beschwerde ist daher einzutreten.</w:t>
      </w:r>
    </w:p>
    <w:p>
      <w:r>
        <w:rPr>
          <w:b/>
        </w:rPr>
        <w:t>E. 1.4</w:t>
      </w:r>
    </w:p>
    <w:p>
      <w:r>
        <w:t>Anfechtungsobjekt bildet die Verfügung der Vorinstanz vom 20. Mai 2015 (act. 113), mit welcher das Leistungsbegehren auf eine schweizerische IV-Rente abgewiesen worden ist. Mit Blick auf die vom Beschwerdeführer in den Eingaben vom 9. Juni und 6. Juli 2015 (B-act. 1 und 6) gemachten Ausführungen ist streitig und zu prüfen, ob sein Rentenanspruch zu Recht abgelehnt worden ist und in diesem Zusammenhang insbesondere, ob die Vorinstanz den Sachverhalt in medizinischer und beruflich-erwerblicher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(20. Mai 2015)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Seit dem 1. Januar 2015 sind auch die durch die Verordnungen (EU) Nr. 1244/2010, Nr. 465/2012 und Nr. 1224/2012 erfolgten Änderungen in den Beziehungen zwischen der Schweiz und den EU-Mitgliedstaten anwendbar.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20. Mai 2015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ehemaligen Eidgenössischen Versicherungsgerichts (EVG; seit 1. Januar 2007: Bundesgericht [BGer]) stellt diese Regelung nicht eine blosse Auszahlungsvorschrift, sondern eine besondere Anspruchsvoraussetzung dar (BGE 121 V 275 E. 6c).</w:t>
      </w:r>
    </w:p>
    <w:p>
      <w:r>
        <w:rPr>
          <w:b/>
        </w:rPr>
        <w:t>E. 2.6</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Der Arzt muss über die notwendigen fachlichen Qualifikationen verfügen (Urteil des BGer 9C_736/2009 vom 26. Januar 2010 E. 2.1). Diesen Anforderungen genügende RAD-Berichte nach Art. 49 Abs. 2 IVV können einen Beweiswert haben, der mit jenem von externen medizinischen Gutachten vergleichbar ist (BGE 137 V 210 E. 1.2.1; 135 V 254 E. 3.3.2; vgl. auch SVR 2009 IV Nr. 53 S. 165 E. 3.3.2).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(vgl. Art. 59 Abs. 2bis IVG). Die RAD können bei Bedarf selber ärztliche Untersuchungen von Versicherten durchführen. Sie halten die Untersuchungsergebnisse schriftlich fest (Art. 49 Abs. 2 IVV). RAD-Berichte sind versicherungsinterne, von Art. 44 ATSG betreffend Gutachten nicht erfasste Dokumente nach Art. 59 Abs. 2bis IVG, denen nicht jegliche Aussen- oder Beweiswirkung abgesprochen werden kann. Vielmehr sind sie entscheidrelevante Aktenstücke (Urteil I 143/07 des BGer vom 14. September 2007 E. 3.3 mit Hinweisen; vgl. auch Urteil I 694/05 des EVG vom 15. Dezember 2006 E. 5). Die in Art. 44 ATSG vorgesehenen Verfahrensregeln entfalten daher bei der Einholung von RAD-Berichten keine Wirkung (BGE 135 V 254 E. 3.4; Urteile des BGer 8C_385/2014 vom 16. September 2014 E. 4.2.1 und 8C_197/2014 vom 3. Oktober 2014 E. 4.1).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BGer 8C_119/2012 vom 30. März 2012 E. 4 und 9C_1063/2009 vom 22. Januar 2010 E. 4.2.1, in: SVR 2010 IV Nr. 46 S. 143). Dies gilt grundsätzlich auch in Bezug auf Berichte und Stellungnahmen regionaler ärztlicher Dienste (Urteil 9C_196/2014 vom 18. Juni 2014 E. 5.1.1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122 V 157 E. 1d; Urteile des BGer 8C_874/2013 vom 14. Februar 2014 E. 3.3 und 9C_8/2011 vom 21. Februar 2011 E. 4.1.3).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der 18. August 2005 (Datum der letzten rechtskräftigen Verfügungen [act. 34], welchen eine materielle Beurteilung des Rentenanspruchs zugrunde lag und die mit dem unangefochten in Rechtskraft erwachsenen Einspracheentscheid vom 5. November 2007 bestätigt worden sind [act. 46]), und der 20. Mai 2015 (Datum der angefochtenen rentenabweisenden Verfügung).</w:t>
      </w:r>
    </w:p>
    <w:p>
      <w:r>
        <w:rPr>
          <w:b/>
        </w:rPr>
        <w:t>E. 4.1</w:t>
      </w:r>
    </w:p>
    <w:p>
      <w:r>
        <w:t>Vor Erlass der Verfügungen vom 18. August 2005 dienten der IV-Stelle TG als Entscheidbasis in medizinischer Hinsicht unter anderem folgende ärztliche Dokumente: Dr. med. C._______ diagnostizierte in seinem Bericht vom 4. April 2005 mit Auswirkungen auf die Arbeitsfähigkeit eine terminale Niereninsuffizienz, einen Zustand nach einer Nierenlebendspende (13. Juli 2004; in gleicher Sitzung Durchführung einer Nephrektomie), eine arterielle Hypertonie sowie eine Cortisonosteopathie. Er attestierte dem Versicherten für die zuletzt ausgeübte Tätigkeit eine 50%ige Arbeitsfähigkeit seit dem 1. Dezember 2004 (act. 22; davor attestierte er ab dem 12. Juli 2004 eine vollständige Arbeitsunfähigkeit [act. 10 S. 1]). In Ergänzung dieses Arztberichts führte Dr. med. C._______ auf entsprechende Nachfrage der IV-Stelle TG vom 2. Mai 2005 hin aus, die zumutbare Arbeitsfähigkeit betrage in der angestammten Tätigkeit 50 % seit dem 15. März 2003 und in einer den Leiden angepassten Tätigkeit ebenfalls 50 % seit dem 13. Juli 2004 (act. 27). Am 9. Juni 2005 gab der RAD an, in der angestammten Tätigkeit bestehe eine 50%ige Arbeitsunfähigkeit und in einer leidensadaptierten Verweisungstätigkeit (körperlich leicht, in temperierten Räumen, kein Heben und Tragen von Lasten von mehr als 10 kg, wechselnde Arbeitshaltung) eine 100%ige Erwerbsfähigkeit (act. 28 S. 9).</w:t>
      </w:r>
    </w:p>
    <w:p>
      <w:r>
        <w:rPr>
          <w:b/>
        </w:rPr>
        <w:t>E. 4.2</w:t>
      </w:r>
    </w:p>
    <w:p>
      <w:r>
        <w:t>Die streitige, angefochtene Verfügung vom 20. Mai 2015 basierte in medizinischer Hinsicht in erster Linie auf dem B._______-Gutachten vom 4. Februar 2015 (act. 108). Darin diagnostizierten die Experten mit Einfluss auf die Arbeitsfähigkeit rezidivierende akute polymorphpsychotische Störungen ohne Symptome einer Schizophrenie (ICD-10 F23.0), ein chronisches zervikospondylogenes und thorakolumbospondylogenes Schmerzsyndrom (ICD-10 M53.1 und M54.5), belastungsabhängige Gonalgien links (ICD-10 M17.9), eine Epicondylitis humeri radialis und ulnaris beidseits (ICD-10 M77.0/77.1), eine Hypermobilität (IDC-10 M35.7), eine Osteopenie (ICD-10 M81.99) sowie einen Status nach einer Lebendnierentransplantation am 13. Juli 2004 (ICD-10 Z94). Weiter wurde im Rahmen der Gesamtbeurteilung zusammenfassend ausgeführt, dem Versicherten könnten körperlich schwere und mittelschwere Tätigkeiten nicht mehr zugemutet werden. In der angestammten Tätigkeit bestehe eine maximale Arbeitsfähigkeit von 50 %. Die Einschränkungen aus psychiatrischer, rheumatologischer und nephrologischer Sicht ergänzten sich bezüglich möglicher Pausen, es entstehe kein additiver Effekt. In einer körperlich leichten, gut adaptierten Tätigkeit bestehe eine zumutbare Arbeits- und Leistungsfähigkeit von 80 %. Das Pensum könnte vollschichtig umgesetzt werden mit reduziertem Rendement. Diese Einschätzung der Arbeitsfähigkeit sei wahrscheinlich seit Januar 2013 anzunehmen und mit Sicherheit ab Januar 2015 zu bestätigen. Die Tatsache, dass der Versicherte seine angestammte Tätigkeit immer noch zu 100 % ausübe, lasse auf eine sehr hohe Arbeitsmotivation schliessen, er betreibe hiermit jedoch Raubbau an seinem Körper. Betreffend die Stellungnahmen zu früheren ärztlichen Einschätzungen aus polydisziplinärer Sicht sei auf die entsprechenden Teilgutachten verwiesen. Insbesondere aus psychiatrischer Sicht müsse auf die regelmässige Quetiapineinnahme hingeweisen werden. Unter strikter und dauerhafter Neuroleptikaeinnahme sollten die psychotischen Schübe eine seltene Ausnahme bleiben. Aus rheumatologischer Sicht könne insbesondere ein moderates Ausdauertraining sowie die Fortsetzung der ambulanten Physiotherapie empfohlen werden. Berufliche Massnahmen seien nicht vorzuschlagen. Die Reduktion des aktuellen Pensums auf 50 % sei medizinisch eine sinnvolle Option (act. 108 S. 23 ff.).</w:t>
      </w:r>
    </w:p>
    <w:p>
      <w:r>
        <w:rPr>
          <w:b/>
        </w:rPr>
        <w:t>E. 4.3.1</w:t>
      </w:r>
    </w:p>
    <w:p>
      <w:r>
        <w:t>Das polydisziplinäre B._______-Gutachten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steht zudem mit den entsprechenden Teilgutachten in Übereinstimmung und ist in der Darlegung der medizinischen Zusammenhänge und in der Beurteilung der medizinischen Situation für die hier interessierenden Fragen einleuchtend und in den Schlussfolgerungen begründet, so dass darauf abgestellt werden kann.</w:t>
      </w:r>
    </w:p>
    <w:p>
      <w:r>
        <w:rPr>
          <w:b/>
        </w:rPr>
        <w:t>E. 4.3.2</w:t>
      </w:r>
    </w:p>
    <w:p>
      <w:r>
        <w:t>Zwar ist der vom Beschwerdeführer im Rahmen der Beschwerdebegründung eingereichte Bericht von Dr. med. D._______, Facharzt für Neurologie und Psychiatrie, im vorliegenden Verfahren zu berücksichtigen, da dieser rückwirkend Bezug auf den bereits im Zeitpunkt des Erlasses der angefochtenen Verfügung vorliegenden Gesundheitszustand nimmt, mit dem Streitgegenstand in engem Zusammenhang steht und geeignet sein könnte, die Beurteilung zu beeinflussen (BGE 116 V 80 E. 6b; ZAK 1989 S. 111 E. 3b). Jedoch vermag dieses - der freien Beweiswürdigung des Gerichts unterliegende (vgl. Urteil des BVGer C-6398/2009 vom 18. Mai 2012 E. 2.1; zum Grundsatz der freien Beweiswürdigung vgl. BGE 125 V 351 E. 3a) - Attest an der Schlüssigkeit der B._______-Expertise nichts zu ändern, zumal sich diese ärztliche Stellungnahme nicht zur Arbeits- und Leistungsfähigkeit des Beschwerdeführers äussert. Zu ergänzen ist, dass es die unterschiedliche Natur von Behandlungsauftrag des therapeutisch tätigen (Fach-)Arztes einerseits und Begutachtungsauftrag des amtlich bestellten fachmedizinischen Experten anderseits nicht zulässt, ein medizinisches Administrativ- oder Gerichtsgutachten stets in Frage zu stellen und zum Anlass weiterer Abklärungen zu nehmen, wenn die behandelnden Ärzte zu anderslautenden Einschätzungen gelangen. Vorliegend drängt sich keine abweichende Beurteilung auf, weil Dr. med. D._______ keine wichtigen - und nicht rein subjektiver ärztlicher Interpretation entspringende - Aspekte benennt hatte, die im Rahmen der Begutachtung unerkannt oder ungewürdigt geblieben wären (vgl. hierzu SVR 2008 IV Nr. 15 S. 44 E. 2.2.1).</w:t>
      </w:r>
    </w:p>
    <w:p>
      <w:r>
        <w:rPr>
          <w:b/>
        </w:rPr>
        <w:t>E. 4.3.3</w:t>
      </w:r>
    </w:p>
    <w:p>
      <w:r>
        <w:t>Aufgrund der vorstehenden Erwägungen ist zusammenfassend festzuhalten, dass sich der gesundheitliche Zustand des Beschwerdeführers und dessen Auswirkungen auf die Arbeits- und Leistungsfähigkeit aufgrund der B._______-Expertise schlüssig und zuverlässig beurteilen lässt und sich somit der medizinische Sachverhalt als rechtsgenüglich abgeklärt erweist (vgl. BGE 125 V 353 E. 3b/bb; vgl. zum Ganzen auch E. 2.7 hiervor). Daraus ergibt sich mit Blick auf die vorliegend relevanten Vergleichszeitpunkte (18. August 2015 und 20. Mai 2015; vgl. E. 3. hiervor), dass beim Beschwerdeführer zweifelsfrei eine wesentliche gesundheitliche Änderung eingetreten ist, welche geeignet ist, den Invaliditätsgrad und damit den Rentenanspruch im Sinne von Art. 17 ATSG zu beeinflussen. Demnach ist aus gesamtmedizinischer Sicht von einer 50%igen Arbeitsfähigkeit in der angestammten Tätigkeit und einer 80%igen Leistungs- resp. Erwerbsfähigkeit in einer leidensadaptierten Verweisungstätigkeit auszugehen. In diesem Zusammenhang ist der Beschwerdeführer darauf hinzuweisen, dass auch die Experten des B._______ die Auffassung vertreten haben, dass er seinen Beruf und somit seine momentane angestammte Erwerbstätigkeit nur noch zu höchstens 50 % auszuüben kann. Insofern stimmen seine beschwerdeweise gemachten Ausführungen mit der Expertenbeurteilung überein. Aufgrund des Beginns der Arbeitsfähigkeiten gemäss B._______-Experten frühestens im Januar 2013 sind bei der nachfolgenden Bemessung der Invalidität im Rahmen des Einkommensvergleichs die Verhältnisse im Zeitpunkt des (hypothetischen frühestmöglichen) Beginns des Rentenanspruchs im Jahr 2014 massgebend (BGE 129 V 222).</w:t>
      </w:r>
    </w:p>
    <w:p>
      <w:r>
        <w:rPr>
          <w:b/>
        </w:rPr>
        <w:t>E. 5.1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w:t>
      </w:r>
    </w:p>
    <w:p>
      <w:r>
        <w:rPr>
          <w:b/>
        </w:rPr>
        <w:t>E. 5.2.1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Entscheid des EVG I 517/02 vom 30. Oktober 2002, E. 1.2).</w:t>
      </w:r>
    </w:p>
    <w:p>
      <w:r>
        <w:rPr>
          <w:b/>
        </w:rPr>
        <w:t>E. 5.2.2</w:t>
      </w:r>
    </w:p>
    <w:p>
      <w:r>
        <w:t>Gemäss dem Fragebogen für Arbeitgebende vom 25. Juni 2013 (act. 59) resp. der Arbeitsplatzabklärung vom 4. November 2013 (act. 70) belief sich das Valideneinkommen des Beschwerdeführers in der Kaderfunktion als Leiter Kunststoffspritzguss auf Fr. 67'990.- im Jahr 2013. Unter Berücksichtigung der Nominallohnentwicklung von 2013 auf 2014 von 1 % (Tabelle 1.1.10; Nominallohnindex Männer Wirtschaftszweig C [verarbeitendes Gewerbe/Herstellung von Waren] 2013: 102.3; 2014: 103.3; vgl. www.bfs.admin.ch Statistiken finden Arbeit und Erwerb Löhne, Erwerbseinkommen und Arbeitskosten Lohnentwicklung schweizeri-scher Lohnindex: Index und Veränderung auf der Basis 2010 = 100 Download Tabelle; zuletzt besucht am 18. Januar 2017) ergibt sich demnach ein hypothetisches Valideneinkommen von jährlich Fr 68'670.-. Davon ist vorliegend auszugehen.</w:t>
      </w:r>
    </w:p>
    <w:p>
      <w:r>
        <w:rPr>
          <w:b/>
        </w:rPr>
        <w:t>E. 5.3.1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Tabellenlöhne herangezogen werden (BGE 129 V 472 E. 4.2.1, 126 V 75 E. 3b bb; RKUV 1999 U 343 S. 412 E. 4b aa).</w:t>
      </w:r>
    </w:p>
    <w:p>
      <w:r>
        <w:rPr>
          <w:b/>
        </w:rPr>
        <w:t>E. 5.3.2</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5.3.3</w:t>
      </w:r>
    </w:p>
    <w:p>
      <w:r>
        <w:t>Wenn davon ausgegangen würde, dass es sich bei dieser 80%igen Tätigkeit beim bisherigen Arbeitgeber - ohne die Aufgaben und Verantwortlichkeiten eines Abteilungsleiters - um eine leidensadaptierte Erwerbstätigkeit handeln würde, was mit Blick auf die Beurteilung der B._______-Experten und der Arbeitsplatzdokumentation (act. 70 S. 3 ff.) eher zu bezweifeln ist, läge das Invalideneinkommen bei jährlich Fr. 54'936.- (Fr 68'670.- x 0.8). Aus der Gegenüberstellung des Validen- resp. des Invalideneinkommens ergäbe sich somit ein IV-Grad von 20 %, was keinen Anspruch auf eine IV-Rente ergäbe. Kein rentenrelevanter IV-Grad resultierte auch unter dem Aspekt, dass die vom Beschwerdeführer im bisherigen Betrieb ausgeübte Erwerbstätigkeit trotz Verzicht auf die Funktion als Abteilungsleiter nicht leidensadaptiert ist. Diesfalls wären zur Bestimmung des Invalideneinkommens auf Tabellenlöhne abzustellen:</w:t>
      </w:r>
    </w:p>
    <w:p>
      <w:r>
        <w:rPr>
          <w:b/>
        </w:rPr>
        <w:t>E. 5.3.4</w:t>
      </w:r>
    </w:p>
    <w:p>
      <w:r>
        <w:t>Zur Bestimmung des hypothetischen Invalideneinkommens des Beschwerdeführers ist auf den Zentralwert der Tabelle TA1_tirage_skill_level der Lohnstrukturerhebungen (LSE) 2012 abzustellen (zur Anwendbarkeit vgl. BGE 142 V 178). Dieser Wert belief sich für die mit einfachen Tätigkeiten körperlicher oder handwerklicher Art beschäftigt Männer im privaten Sektor (Kompetenzniveau 1) im Jahr 2012 auf monatlich brutto Fr. 5'210.- bei einer wöchentlichen Arbeitszeit von 40 Stunden und inkl. 13. Monatslohn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7. Februar 2017). Unter Umrechnung dieses Einkommens auf die betriebsübliche wöchentliche Arbeitszeit von 41.7 Stunden im Jahr 2012 (BGE 126 V 75 E. 3b bb S. 76; vgl. www.bfs.admin.ch Statistiken finden Arbeit und Erwerb Erwerbstätigkeit und Arbeitszeit Arbeitszeit Normalarbeitsstunden gemäss der Statistik der betriebsüblichen Arbeitszeit Betriebsübliche Arbeitszeit nach Wirtschaftsabteilungen, in Stunden pro Woche 1990-2015 Download Tabelle Abschnitte A-S [Total]; zuletzt besucht am 7. Februar 2017) und Berücksichtigung der Nominallohnentwicklung von 2012 auf 2014 (Tabelle 1.1.10; Nominallohnindex Männer Total 2012: 101.7; 2014: 103.2; vgl. www.bfs.admin.ch Statistiken finden Arbeit und Erwerb Löhne, Erwerbseinkommen und Arbeitskosten Lohnentwicklung schweizerischer Lohnindex: Index und Veränderung auf der Basis 2010 = 100 Download Tabelle; zuletzt besucht am 7. Februar 2017) resultiert demnach ein hypothetisches Invalideneinkommen von Fr. 66'138.- pro Jahr. Zufolge der auf 80% reduzierten Leistungs- resp. Erwerbsfähigkeit in einer leidensadaptierten Verweisungstätigkeit und des von der IV-Stelle TG vorgenommenen Abzugs vom Tabellenlohn in der Höhe von 5 % vermindert sich dieses Einkommen auf jährlich Fr. 50'265.-.</w:t>
      </w:r>
    </w:p>
    <w:p>
      <w:r>
        <w:rPr>
          <w:b/>
        </w:rPr>
        <w:t>E. 5.4</w:t>
      </w:r>
    </w:p>
    <w:p>
      <w:r>
        <w:t>Aus der Gegenüberstellung eines hypothetischen Valideneinkommens von jährlich Fr 68'670.- und eines hypothetischen Invalideneinkommens von Fr. 50'265.- pro Jahr resultiert bei einer Erwerbseinbusse von Fr. 18'405.- ein IV-Grad von gerundet 27 % (zur Rundung vgl. BGE 130 V 121 E. 3.2 und 3.3), was keinen Anspruch auf ein IV-Rente ergibt. Selbst wenn - was sich im vorliegenden Fall als zu hoch erweisen würde - ein Abzug vom Tabellenlohn in der Höhe von 10 % vorgenommen und sich das hypothetische Invalideneinkommen demnach auf Fr. 47'619.- belaufen würde, ergäbe sich aus der Gegenüberstellung eines hypothetischen Valideneinkommens von jährlich Fr 68'670.- und eines hypothetischen Invalideneinkommens von Fr. 47'619.- pro Jahr bei einer Erwerbseinbusse von Fr. 21'051.- ein rentenausschliessender IV-Grad von (gerundet) 31 %.</w:t>
      </w:r>
    </w:p>
    <w:p>
      <w:r>
        <w:rPr>
          <w:b/>
        </w:rPr>
        <w:t>E. 6</w:t>
      </w:r>
    </w:p>
    <w:p>
      <w:r>
        <w:t>Aufgrund der vorstehenden Erwägungen ergibt sich zusammenfassend, dass die Beschwerde vom 9. Juni 2015 gegen die Verfügung vom 20. Mai 2015 als unbegründet abzuweisen ist.</w:t>
      </w:r>
    </w:p>
    <w:p>
      <w:r>
        <w:rPr>
          <w:b/>
        </w:rPr>
        <w:t>E. 7</w:t>
      </w:r>
    </w:p>
    <w:p>
      <w:r>
        <w:t>Zu befinden bleibt noch über die Verfahrenskosten und eine allfällige Parteientschädigung.</w:t>
      </w:r>
    </w:p>
    <w:p>
      <w:r>
        <w:rPr>
          <w:b/>
        </w:rPr>
        <w:t>E. 7.1</w:t>
      </w:r>
    </w:p>
    <w:p>
      <w:r>
        <w:t>Gemäss Art. 69 Abs. 1bis in Verbindung mit Art. 69 Abs. 2 IVG ist das Beschwerdeverfahren bei Streitigkeiten um die Bewilligung oder die Verweigerung von IV-Leistungen vor dem Bundesverwaltungsgericht kostenpflichtig. Entsprechend dem Ausgang des Verfahrens hat der Beschwerdeführer die Verfahrenskosten zu tragen (Art. 63 Abs. 1 VwVG). Diese sind auf Fr. 400.- festzusetzen und dem geleisteten Kostenvorschuss in gleicher Höhe zu entnehmen.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