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C-3668/2012 vom 10. Dezember 2012</w:t>
      </w:r>
    </w:p>
    <w:p>
      <w:r>
        <w:t>Bundesverwaltungsgericht, 2012-12-10, IT</w:t>
      </w:r>
    </w:p>
    <w:p>
      <w:r>
        <w:rPr>
          <w:b/>
        </w:rPr>
        <w:t xml:space="preserve">Quelle: </w:t>
      </w:r>
      <w:r>
        <w:t>https://mcp.opencaselaw.ch/entscheid/bvger_C-3668_2012</w:t>
      </w:r>
    </w:p>
    <w:p>
      <w:r>
        <w:t>FR: TAF C-3668/2012 du 10 décembre 2012</w:t>
      </w:r>
    </w:p>
    <w:p>
      <w:r>
        <w:t>IT: TAF C-3668/2012 del 10 dicembre 2012</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w:t>
      </w:r>
    </w:p>
    <w:p>
      <w:r>
        <w:rPr>
          <w:b/>
        </w:rPr>
        <w:t>E. 3</w:t>
      </w:r>
    </w:p>
    <w:p>
      <w:r>
        <w:t>Comunicazione a: - ricorrente (Raccomandata con avviso di ricevimento) - autorità inferiore (n. di rif. ;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