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C-3664/2020 vom 10. Mai 2021</w:t>
      </w:r>
    </w:p>
    <w:p>
      <w:r>
        <w:t>Bundesverwaltungsgericht, 2021-05-10, DE</w:t>
      </w:r>
    </w:p>
    <w:p>
      <w:r>
        <w:rPr>
          <w:b/>
        </w:rPr>
        <w:t xml:space="preserve">Quelle: </w:t>
      </w:r>
      <w:r>
        <w:t>https://mcp.opencaselaw.ch/entscheid/bvger_C-3664_2020</w:t>
      </w:r>
    </w:p>
    <w:p>
      <w:r>
        <w:t>FR: TAF C-3664/2020 du 10 mai 2021</w:t>
      </w:r>
    </w:p>
    <w:p>
      <w:r>
        <w:t>IT: TAF C-3664/2020 del 10 maggio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und Art. 52 Abs. 1 VwVG; BVGer act. 5).</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spanischer Staatsangehöriger mit Wohnsitz in Spanien.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10. Juni 2020 in Kraft standen; weiter aber auch Vorschriften, die zu jenem Zeitpunkt bereits ausser Kraft getreten waren, die aber für die Beurteilung allenfalls früher entstandener Leistungsansprüche von Belang sind.</w:t>
      </w:r>
    </w:p>
    <w:p>
      <w:r>
        <w:rPr>
          <w:b/>
        </w:rPr>
        <w:t>E. 3</w:t>
      </w:r>
    </w:p>
    <w:p>
      <w:r>
        <w:t>Zum Anspruch auf eine schweizerische Invalidenrente und den Abklärungen, die in diesem Zusammenhang vorzunehmen sind, ist Folgendes vor-auszuschicken: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w:t>
      </w:r>
    </w:p>
    <w:p>
      <w:r>
        <w:rPr>
          <w:b/>
        </w:rPr>
        <w:t>E. 4</w:t>
      </w:r>
    </w:p>
    <w:p>
      <w:r>
        <w:t>Anfechtungsobjekt und damit Begrenzung des Streitgegenstandes des vorliegenden Beschwerdeverfahrens (vgl. BGE 131 V 164 E. 2.1) bildet die Verfügung vom 10. Juni 2020 (act. 60). Streitig und vom Bundesverwaltungsgericht zu prüfen ist der Anspruch des Beschwerdeführers auf eine schweizerische Invalidenrente.</w:t>
      </w:r>
    </w:p>
    <w:p>
      <w:r>
        <w:rPr>
          <w:b/>
        </w:rPr>
        <w:t>E. 4.1</w:t>
      </w:r>
    </w:p>
    <w:p>
      <w:r>
        <w:t>Die RAD-Allgemeinmedizinerin Dr. B._______ kam in ihrer Stellungnahme vom 12. November 2019 zum Schluss, dass dem Beschwerdeführer eine angepasste Tätigkeit zu 100 % zumutbar sei. Konkrete Verweistätigkeiten benannte sie nicht (act. 38). Die letzte Tätigkeit als «Moniteur socioculturel» erachtete sie zu 80 % als zumutbar (act. 41). Dr. B._______ stützte sich bei ihrer Einschätzung ausschliesslich auf die Akten. Eine eigene Untersuchung des Versicherten fand nicht statt. Ihre Begründung fiel knapp aus: Der Riss der Rotatorenmanschette der linken Schulter habe zwei Interventionen erforderlich gemacht. Aktuell stehe eine Versorgung mit einer Prothese an. Arbeiten mit Kraftanstrengungen und mit Anhebung der Extremitäten (Arme) über die Horizontale seien nicht mehr durchführbar. Nach der radikalen Prostatektomie am 22. Mai 2018 bestehe nur eine Inkontinenz fort, wobei keine entsprechende Schutzvorrichtung erforderlich sei. Nach der radikalen Nephrektomie rechts am 31. Januar 2019 liege kein zytopathologischer Befund vor. Dass diesbezüglich keine onkologische Behandlung stattfinde, lasse an ein gutartiges Geschehen denken (act. 38, Seite 4 f.). Einlässlicher würdigte Dr. B._______ am 24. November 2020 die Arztberichte, die im Beschwerdeverfahren vorgelegt wurden. Im Ergebnis hielt sie an ihrer Einschätzung fest (BVGer act. 10, Beilage).</w:t>
      </w:r>
    </w:p>
    <w:p>
      <w:r>
        <w:rPr>
          <w:b/>
        </w:rPr>
        <w:t>E. 4.2</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4.3</w:t>
      </w:r>
    </w:p>
    <w:p>
      <w:r>
        <w:t>In Anbetracht der neun Diagnosen, die im RAD-Aktenbericht vom 12. November 2019 aufgeführt werden, liegt ein komplexes Krankheitsbild vor (act. 38; vgl. die Sachverhaltserwägung A.b). Die Diagnosen betreffen neben der Allgemeinen Inneren Medizin namentlich auch die Orthopädie und Urologie. Die fachliche Qualifikation eines Arztes spielt für die Würdigung medizinischer Berichte eine erhebliche Rolle. Verwaltung und Sozialversicherungsgericht müssen sich auf die Fachkenntnisse des Verfassers eines medizinischen Berichts, auf welchen sie abstellen wollen, verlassen können. Der berichtende oder zumindest der den Bericht visierende Arzt muss sich über eine allgemein anerkannte Facharztausbildung in der gefragten medizinischen Disziplin ausweisen können (Urteil des BGer 9C_736/2009 vom 26. Januar 2010 E. 2.1 mit diversen Hinweisen). Ob die RAD-Allgemeinmedizinerin Dr. B._______ (FMH Allgemeine Innere Medizin) zur Beurteilung der orthopädischen und urologischen Komponenten qualifiziert ist, ist nicht ausgemacht. Mit ihrer orthopädischen und urologischen Einschätzung wagte sie sich auf fachfremdes Gebiet vor, was die Beweiskraft der Aktenberichte in Zweifel zieht. Zumindest für die orthopädischen und urologischen Komponenten können sie keine abschliessende Beweiskraft für sich beanspruchen. Im Ergebnis erweisen sich die medizinischen Abklärungen der Vorinstanz als unvollständig.</w:t>
      </w:r>
    </w:p>
    <w:p>
      <w:r>
        <w:rPr>
          <w:b/>
        </w:rPr>
        <w:t>E. 4.4</w:t>
      </w:r>
    </w:p>
    <w:p>
      <w:r>
        <w:t>Hinzu kommt, dass sich die medizinische Aktenlage insgesamt dürftig darstellt. Neben den diversen Berichten der behandelnden Ärzte, die keine Angaben zur Arbeitsfähigkeit enthalten, liegt der Bericht einer spanischen Versicherungsärztin vom 22. Juli 2019 vor, deren fachärztliche Ausrichtung unleserlich / nicht angegeben ist. Auch sie attestierte dem Beschwerdeführer eine uneingeschränkte Arbeitsfähigkeit in einer adaptierten Tätigkeit, wobei sie diese zentrale Schlussfolgerung nicht weiter und somit auch nicht nachvollziehbar begründete (act. 30, Seite 10). Entgegen seinen Ausführungen in der Beschwerde scheint aber immerhin am 17. Juli 2019 eine medizinische Untersuchung des Versicherten stattgefunden zu haben (act. 30, Seite 2; BVGer act. 1). Gleichwohl hat der Bericht vom 22. Juli 2019 nur rudimentären Charakter und ist für die streitigen Belange weder umfassend noch ausreichend. Enthalten die Akten - wie im vorliegenden Fall -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4.5</w:t>
      </w:r>
    </w:p>
    <w:p>
      <w:r>
        <w:t>Der Beschwerdeführer führte seinerseits aus, er sei gemäss dem spanischen Gutachten vom 2. Juli 2020, das Dr. C._______ als Spezialist für Körperverletzungen erstellte, zu 75 % für jedwede Tätigkeit arbeitsunfähig (BVGer act. 1, Beilage). Er führte mit Verweis auf Dr. C._______ folgende Leiden an: 1. Bruch der Rotatorenmanschette links mit Atrophie des linken Arms; 2. Inkontinenz mit Windelbedarf nach Operation wegen Prostatakrebs; 3. Ängstlich-depressives Syndrom nach Operation wegen Krebs an der rechte Niere (BVGer act. 1). Auch wenn auf das Parteigutachten von Dr. C._______ nicht abzustellen ist, scheint für den medizinischen Laien doch möglich / wahrscheinlich, dass das Schulterleiden und die damit verbundenen Schmerzen sowie die Inkontinenz ein Vollpensum auch in einer adaptierten Tätigkeit unzumutbar machen bzw. die Leistungsfähigkeit erheblich herabsetzen.</w:t>
      </w:r>
    </w:p>
    <w:p>
      <w:r>
        <w:rPr>
          <w:b/>
        </w:rPr>
        <w:t>E. 4.6</w:t>
      </w:r>
    </w:p>
    <w:p>
      <w:r>
        <w:t>Zudem ist anzumerken, dass mit dem Riss der Rotatorenmanschette der linken Schulter, der anstehenden Versorgung mit einer Prothese, der radikalen Prostatektomie am 22. Mai 2018 und der radikalen Nephrektomie am 31. Januar 2019 schwerwiegende Diagnosen im Raum stehen, die erfahrungsgemäss eine psychische Beeinträchtigung nach sich ziehen können. Dem im (nicht psychiatrischen) Parteigutachten vom 2. Juli 2020 attestierten ängstlich-depressiven Syndrom kann vor diesem Hintergrund die Relevanz nicht leichthin abgesprochen werden. Dass derzeit keine psychiatrische Behandlung durchgeführt wird, ändert daran nichts (vgl. BVGer act. 10, Beilage). Eine psychiatrische Stellungnahme fehlt bislang. Auch in diesem Zusammenhang ist die Beurteilung der RAD-Allgemeinmedizinerin Dr. B._______ fachfremd.</w:t>
      </w:r>
    </w:p>
    <w:p>
      <w:r>
        <w:rPr>
          <w:b/>
        </w:rPr>
        <w:t>E. 4.7</w:t>
      </w:r>
    </w:p>
    <w:p>
      <w:r>
        <w:t>Eine Berentung allein aufgrund der aktenkundigen Arztberichte scheidet im vorliegenden Fall aus. Der entsprechende Antrag des Beschwerdeführers ist zum jetzigen Zeitpunkt abzuweisen. Die aktenkundigen Arzt-berichte haben mehrheitlich nur rudimentären Charakter und sind für die streitigen Belange weder umfassend noch ausreichend. Eine zuverlässige, rechtsgenügliche Beurteilung der medizinischen Situation fehlt bislang. Ebenso fehlen begründete Schlussfolgerungen der Expertinnen und Experten zur Arbeitsfähigkeit des Versicherten (vgl. BGE 134 V 231 E. 5.1; BGE 125 V 351 E. 3a). Den vorliegenden Arztberichten ist daher die Beweistauglichkeit abzusprechen. Dies gilt namentlich auch für das Partei-gutachten vom 2. Juli 2020, das Dr. C._______ als Spezialist für Körperverletzungen erstellte. Zu ergänzen ist, dass die Berichte von behandelnden Ärzten ebenso wie Parteigutachten von vornherein nur mit Vorbehalt zu würdigen sind.</w:t>
      </w:r>
    </w:p>
    <w:p>
      <w:r>
        <w:rPr>
          <w:b/>
        </w:rPr>
        <w:t>E. 5</w:t>
      </w:r>
    </w:p>
    <w:p>
      <w:r>
        <w:t>Nach dem Gesagten lassen sich Gesundheitszustand und Arbeitsfähigkeit aufgrund der Aktenlage nicht zuverlässig beurteilen. Die angefochtene Verfügung ist aufzuheben. Nachdem die vorhandenen Akten für die streitigen Belange keine beweistauglichen Unterlagen enthalten, besteht Anlass zu weitergehenden Abklärungen. Zum weiteren Vorgehen ist Folgendes zu erwägen:</w:t>
      </w:r>
    </w:p>
    <w:p>
      <w:r>
        <w:rPr>
          <w:b/>
        </w:rPr>
        <w:t>E. 5.1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Da Gesundheitszustand und Arbeitsfähigkeit des Beschwerdeführers als zweifelhaft und somit ungeklärt gelten müssen, ist die vorliegende Sache an die Vorinstanz zurückzuweisen. Würde eine gravierend mangelhafte Sachverhaltsabklärung im Verwaltungsverfahren stets durch die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zudem nicht dazu verleitet werden, das Gericht die eigentliche Abklärungsarbeit machen zu lassen (vgl. dazu MIRIAM LENDFERS, Sachverständige im Verwaltungsverfahren, in: Ueli Kieser/Miriam Lendfers [Hrsg.], Jahrbuch zum Sozialversicherungsrecht 2016, S. 187; Urteil des BVGer C-2907/2018).</w:t>
      </w:r>
    </w:p>
    <w:p>
      <w:r>
        <w:rPr>
          <w:b/>
        </w:rPr>
        <w:t>E. 5.2</w:t>
      </w:r>
    </w:p>
    <w:p>
      <w:r>
        <w:t>In Anbetracht der neun Diagnosen, die im RAD-Aktenbericht vom 12. November 2019 aufgeführt werden, liegt ein komplexes Krankheitsbild vor. Um eine vollständige und umfassende Beurteilung des Gesundheitszustands und der Arbeitsfähigkeit zu ermöglichen, erscheint die Durchführung einer polydisziplinären medizinischen Begutachtung unumgänglich. Die medizinische Aktenlage ist hierfür vorgängig zu aktualisieren, sodass der Verlauf bis zum Zeitpunkt der Begutachtung möglichst lückenlos beurteilt werden kann. Soweit der Beschwerdeführer über medizinische Unterlagen verfügt, die der Vorinstanz noch nicht zugänglich gemacht wurden, sind ihr diese umgehend zur Verfügung zu stellen. Die Vorinstanz hat den Gutachtern sämtliche medizinischen Unterlagen zugänglich zu machen, wobei diese gegebenenfalls ins Deutsche (oder Französische) zu übersetzen sind. Angezeigt erscheint eine Begutachtung in den Fachdisziplinen Allgemeine Innere Medizin, Orthopädie, Urologie und - der Vollständigkeit halber - auch Psychiatrie.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Im Falle einer psychiatrischen Erkrankung wäre ein strukturiertes Beweisverfahren nach BGE 141 V 281 durchzuführen (BGE 143 V 409; BGE 143 V 418).</w:t>
      </w:r>
    </w:p>
    <w:p>
      <w:r>
        <w:rPr>
          <w:b/>
        </w:rPr>
        <w:t>E. 5.3</w:t>
      </w:r>
    </w:p>
    <w:p>
      <w:r>
        <w:t>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anstehende Begutachtung hat in der Schweiz zu erfolgen, zumal die Abklärungsstelle mit den Grundsätzen der schweizerischen Versicherungsmedizin vertraut sein muss. Vertieft zu prüfen sind namentlich Zumutbarkeit und Zuschnitt einer allfälligen Verweistätigkeit. Dem Beschwerdeführer ist das rechtliche Gehör zu gewähren und es ist ihm Gelegenheit zu geben, Zusatzfragen zu stellen (BGE 137 V 210 E. 3.4.2.9). Die Gutachterauswahl erfolgt bei polydisziplinären Begutachtungen in der Schweiz nach dem Zufallsprinzip (vgl. dazu BGE 139 V 349 E. 5.2.1), was im Interesse der Verfahrensbeteiligten liegt.</w:t>
      </w:r>
    </w:p>
    <w:p>
      <w:r>
        <w:rPr>
          <w:b/>
        </w:rPr>
        <w:t>E. 5.4</w:t>
      </w:r>
    </w:p>
    <w:p>
      <w:r>
        <w:t>Auf der Grundlage des interdisziplinären Gutachtens hat die Vorinstanz erneut über den Rentenanspruch des Beschwerdeführers zu befinden. Sein Invaliditätsgrad ist im Rahmen eines Einkommensvergleichs zu bemessen. Der Beschwerdeführer monierte in diesem Zusammenhang, die Vorinstanz habe seinen beruflichen Hintergrund falsch aufgefasst. Daher ist Folgendes festzuhalten: Die Vorinstanz hat das Valideneinkommen im Einkommensvergleich zur angefochtenen Verfügung ausgehend von einer unqualifizierten Tätigkeit aufgrund der schweizerischen Lohnstrukturerhebung 2016 bestimmt (act. 43). Dies ist nicht zu beanstanden, da der Versicherte über keine berufliche Ausbildung verfügt, auch nicht in der Landwirtschaft. Allerdings war er von 2010 bis 2016 in Spanien hauptsächlich als Landarbeiter und Viehhüter beschäftigt (act. 6, 37; BVGer act. 1). Landwirtschaft und Viehzucht sind zum Sektor Produktion und nicht zum Sektor Dienstleistungen zu rechnen. Zudem soll der Beschwerdeführer unter der Bezeichnung «Moniteur socioculturel» auch mitarbeitende suchtkranke Menschen beaufsichtigt haben. Diese Zusatzfunktion kann lohnerhöhend berücksichtigt werden, weshalb es angemessen erscheint, wenn das Valideneinkommen ausgehend vom Totalwert für den Sektor Produktion bemessen würde (Kompetenzniveau 1, Männer). Das Invalideneinkommen wurde ebenso ausgehend von einer unqualifizierten Tätigkeit aufgrund der schweizerischen Lohnstrukturerhebung 2016 bestimmt (act. 43). Auch dies ist im Grundsatz nicht zu beanstanden, wobei es derzeit wahrscheinlich scheint, dass für den Versicherten nur noch Tätigkeiten aus dem schlechter bezahlten Sektor Dienstleistungen in Frage kommen (Kompetenzniveau 1, Männer). Von weitergehenden Ausführungen zum Einkommensvergleich ist zum jetzigen Zeitpunkt abzusehen.</w:t>
      </w:r>
    </w:p>
    <w:p>
      <w:r>
        <w:rPr>
          <w:b/>
        </w:rPr>
        <w:t>E. 6</w:t>
      </w:r>
    </w:p>
    <w:p>
      <w:r>
        <w:t>Zusammenfassend ist festzuhalten, dass sich der Rentenanspruch des Beschwerdeführers aufgrund der bestehenden Aktenlage nicht mit überwiegender Wahrscheinlichkeit beurteilen lässt. Die Beschwerde wird daher insoweit gutgeheissen, als die angefochtene Verfügung aufgehoben und die Sache zur weiteren Abklärung und Neubeurteilung im Sinne der Erwägung 5 an die Vorinstanz zurückgewiesen wird.</w:t>
      </w:r>
    </w:p>
    <w:p>
      <w:r>
        <w:rPr>
          <w:b/>
        </w:rPr>
        <w:t>E. 7.1</w:t>
      </w:r>
    </w:p>
    <w:p>
      <w:r>
        <w:t>Die Verfahrenskosten sind in der Regel der unterliegenden Partei aufzuerlegen (Art. 63 Abs. 1 VwVG). Die Rückweisung der Sache an die Vor-instanz zu ergänzenden Abklärungen gilt praxisgemäss als Obsiegen; dem Beschwerdeführer sind keine Verfahrenskosten aufzuerlegen, weshalb ihm der geleistete Kostenvorschuss von Fr. 800.- nach Eintritt der Rechtskraft dieses Urteils zurückzuerstatten ist (BVGer act. 5). Der Vorinstanz als unterliegende Partei werden keine Verfahrenskosten auferlegt (Art. 63 Abs. 2 VwVG).</w:t>
      </w:r>
    </w:p>
    <w:p>
      <w:r>
        <w:rPr>
          <w:b/>
        </w:rPr>
        <w:t>E. 7.2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mit nur einem Schriftenwechsel, der Bedeutung der Streitsache und der Schwierigkeit des vorliegend zu beurteilenden Verfahrens erscheint eine pauschale Parteientschädigung von Fr. 1'200.- (inkl. Auslagen, ohne Mehrwertsteuer, vgl. Art. 1 Abs. 2 Bst. a MWSTG [SR 641.20] i.V.m. Art. 8 Abs. 1 MWSTG und Art. 9 Abs. 1 Bst. c VGKE) angemessen.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