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C-3659/2009 vom 24. November 2009</w:t>
      </w:r>
    </w:p>
    <w:p>
      <w:r>
        <w:t>Bundesverwaltungsgericht, 2009-11-24, FR</w:t>
      </w:r>
    </w:p>
    <w:p>
      <w:r>
        <w:rPr>
          <w:b/>
        </w:rPr>
        <w:t xml:space="preserve">Quelle: </w:t>
      </w:r>
      <w:r>
        <w:t>https://mcp.opencaselaw.ch/entscheid/bvger_C-3659_2009</w:t>
      </w:r>
    </w:p>
    <w:p>
      <w:r>
        <w:t>FR: TAF C-3659/2009 du 24 novembre 2009</w:t>
      </w:r>
    </w:p>
    <w:p>
      <w:r>
        <w:t>IT: TAF C-3659/2009 del 24 novembre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L'intéressée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parmi de nombreux autres, l'arrêt du Tribunal administratif fédéral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d'Indonésie, l'intéressé est soumis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w:t>
      </w:r>
    </w:p>
    <w:p>
      <w:r>
        <w:rPr>
          <w:b/>
        </w:rPr>
        <w:t>E. 7.2</w:t>
      </w:r>
    </w:p>
    <w:p>
      <w:r>
        <w:t>En l'occurrence, il faut prendre en considération la situation socioéconomique difficile prévalant en Indonésie ainsi que les disparités économiques considérables existant entre ce pays et la Suisse (le PIB par habitant s'élève à USD 1'848.- [USD 3'455.- en parité pouvoir d'achat] alors que celui de la Suisse se monte à environ USD 60'000.- [source : site internet du Ministère français des affaires étrangères www.diplomatie.gouv.fr &gt; Pays-zones géo &gt; Indonésie ou Suisse &gt; Présentation, consulté le 30 octobre 2009).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Une demande d'autorisation d'entrée pour tourisme ou visite peut ainsi représenter un moyen détourné de faciliter la venue en Suisse de personnes désirant en réalité s'y établir durablement.</w:t>
      </w:r>
    </w:p>
    <w:p>
      <w:r>
        <w:rPr>
          <w:b/>
        </w:rPr>
        <w:t>E. 7.3</w:t>
      </w:r>
    </w:p>
    <w:p>
      <w:r>
        <w:t>En ce qui concerne plus particulièrement B._______, celui-ci est jeune, célibataire et sans charge de famille, de sorte qu'il serait parfaitement à même de se créer une nouvelle existence hors de sa patrie, sans que cela n'entraîne pour lui de difficultés majeures sur le plan personnel ou familial. Son attachement à sa famille ne saurait, à lui seul, suffire à garantir son retour dans son pays d'origine. S'agissant de sa situation professionnelle, il n'a pas démontré que son emploi lui permettait d'avoir des conditions de vie supérieures à la moyenne et, même si tel était le cas, il pourrait quand même être tenté de prolonger son séjour en Suisse afin d'y chercher un emploi mieux rémunéré, dans la perspective d'un meilleur avenir, étant donné les disparités économiques importantes existant entre ce pays et l'Indonésie.</w:t>
      </w:r>
    </w:p>
    <w:p>
      <w:r>
        <w:rPr>
          <w:b/>
        </w:rPr>
        <w:t>E. 7.4</w:t>
      </w:r>
    </w:p>
    <w:p>
      <w:r>
        <w:t>Il sied de préciser qu'au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w:t>
      </w:r>
    </w:p>
    <w:p>
      <w:r>
        <w:rPr>
          <w:b/>
        </w:rPr>
        <w:t>E. 7.5</w:t>
      </w:r>
    </w:p>
    <w:p>
      <w:r>
        <w:t>Par ailleurs, le refus d'une autorisation d'entrée ne remet nullement en cause la bonne foi ou l'honnêteté de la personne résidant en Suisse qui a invité une personne domiciliée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à cet égard, l'arrêt du Tribunal fédéral 6S.281/2005 du 30 septembre 2005 let. A des faits).</w:t>
      </w:r>
    </w:p>
    <w:p>
      <w:r>
        <w:rPr>
          <w:b/>
        </w:rPr>
        <w:t>E. 8</w:t>
      </w:r>
    </w:p>
    <w:p>
      <w:r>
        <w:t>Compte tenu des considérants exposés ci-dessus, il appert que, par sa décision du 26 mai 2009, l'ODM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d'un montant de Fr. 600.-, à la charge de la recourante,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