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C-3653/2013 vom 21. Dezember 2015</w:t>
      </w:r>
    </w:p>
    <w:p>
      <w:r>
        <w:t>Bundesverwaltungsgericht, 2015-12-21, DE</w:t>
      </w:r>
    </w:p>
    <w:p>
      <w:r>
        <w:rPr>
          <w:b/>
        </w:rPr>
        <w:t xml:space="preserve">Quelle: </w:t>
      </w:r>
      <w:r>
        <w:t>https://mcp.opencaselaw.ch/entscheid/bvger_C-3653_2013</w:t>
      </w:r>
    </w:p>
    <w:p>
      <w:r>
        <w:t>FR: TAF C-3653/2013 du 21 décembre 2015</w:t>
      </w:r>
    </w:p>
    <w:p>
      <w:r>
        <w:t>IT: TAF C-3653/2013 del 21 dicembre 2015</w:t>
      </w:r>
    </w:p>
    <w:p>
      <w:pPr>
        <w:pStyle w:val="Heading2"/>
      </w:pPr>
      <w:r>
        <w:t>Regeste</w:t>
      </w:r>
    </w:p>
    <w:p>
      <w:r>
        <w:t>Nichtigerklärung der erleichterten Einbürgerung</w:t>
      </w:r>
    </w:p>
    <w:p>
      <w:pPr>
        <w:pStyle w:val="Heading2"/>
      </w:pPr>
      <w:r>
        <w:t>Erwägungen</w:t>
      </w:r>
    </w:p>
    <w:p>
      <w:r>
        <w:rPr>
          <w:b/>
        </w:rPr>
        <w:t>E. 1.1</w:t>
      </w:r>
    </w:p>
    <w:p>
      <w:r>
        <w:t>Verfügungen des BFM bzw.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Ergreifung des Rechtsmittels legitimiert.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mit Hinweisen).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140 II 65 E. 2.1; 135 II 161 E. 2 je m.H.).</w:t>
      </w:r>
    </w:p>
    <w:p>
      <w:r>
        <w:rPr>
          <w:b/>
        </w:rPr>
        <w:t>E. 4.1</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132 II 113 E. 3.2).</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4.4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Das neue Recht gilt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Urteil des BVGer C-4576/2013 vom 12. Juni 2013 E. 6.1 m.H., bestätigt durch Urteil des BGer 1C_540/2014 vom 5. Januar 2015).</w:t>
      </w:r>
    </w:p>
    <w:p>
      <w:r>
        <w:rPr>
          <w:b/>
        </w:rPr>
        <w:t>E. 5.1</w:t>
      </w:r>
    </w:p>
    <w:p>
      <w:r>
        <w:t>Das Verfahren betreffend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140 II 65 E. 2.2 und BGE 135 II 161 E. 3 je m.H.).</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6</w:t>
      </w:r>
    </w:p>
    <w:p>
      <w:r>
        <w:t>In der vorliegenden Streitsache sind die formellen Voraussetzungen für die Nichtigerklärung einer erleichterten Einbürgerung erfüllt: Die von Art. 41 Abs. 1 BüG geforderte Zustimmung des Heimatkantons liegt vor, und die Fristen des Art. 41 Abs. 1bis BüG wurden gewahrt.</w:t>
      </w:r>
    </w:p>
    <w:p>
      <w:r>
        <w:rPr>
          <w:b/>
        </w:rPr>
        <w:t>E. 7</w:t>
      </w:r>
    </w:p>
    <w:p>
      <w:r>
        <w:t>Gestützt auf die vorhandenen Akten stellt sich die Streitsache in materieller Hinsicht wie folgt dar:</w:t>
      </w:r>
    </w:p>
    <w:p>
      <w:r>
        <w:rPr>
          <w:b/>
        </w:rPr>
        <w:t>E. 7.1</w:t>
      </w:r>
    </w:p>
    <w:p>
      <w:r>
        <w:t>Die Beschwerdeführerin hielt sich ab August 2001 diverse Mal mit Bewilligungen zum Kurzaufenthalt in der Schweiz auf, um hier als Tänzerin zu arbeiten. Im Herbst 2003 lernte sie - damals 27½ Jahre alt - in einer Bar ihren späteren Schweizer Ehemann kennen, der in jenem Zeitpunkt 49½ Jahre alt war. Die Heirat fand am 10. Mai 2004 statt. Gut viereinhalb Jahre später - am 16. Dezember 2008 - ersuchte die Beschwerdeführerin um erleichterte Einbürgerung. Am 7. Januar 2009 und 16. August 2010 unterzeichneten die Ehegatten gemeinsam Erklärungen zum Zustand der ehelichen Gemeinschaft und am 28. September 2010 wurde die Beschwerdeführerin erleichtert eingebürgert. Am 2. November 2010, also gut einen Monat nach der Einbürgerung, unterzeichneten die Ehegatten eine gemeinsame Scheidungskonvention (welche später Grundlage des Scheidungsantrages vom 8. Juni 2011 bildete) und am 21. Januar 2011, also knapp vier Monate nach der Einbürgerung, meldete sich die Beschwerdeführerin am gemeinsamen Wohnort ab und an einem neuen Wohnort alleine an. Mit Urteil vom 22. November 2011 wurde die Ehe vom Kantonsgericht Schaffhausen geschieden.</w:t>
      </w:r>
    </w:p>
    <w:p>
      <w:r>
        <w:rPr>
          <w:b/>
        </w:rPr>
        <w:t>E. 7.2</w:t>
      </w:r>
    </w:p>
    <w:p>
      <w:r>
        <w:t>Die Chronologie der Ereignisse, insbesondere die äusserst knappe Zeitspanne zwischen der zweiten gemeinsamen Erklärung zum Zustand der ehelichen Gemeinschaft (16. August 2010) sowie der erleichterten Einbürgerung (28. September 2010) einerseits und der Ausfertigung einer Scheidungskonvention (2. November 2010) andererseits, aber auch die geringe zeitliche Distanz zwischen erleichterter Einbürgerung und Aufgabe des gemeinsamen Wohnsitzes (21. Januar 2011) begründen ohne weiteres die natürliche Vermutung, dass die Ehe im Zeitpunkt der gemeinsamen Erklärung beziehungsweise der erleichterten Einbürgerung in Wahrheit nicht intakt war und die Einbürgerungsbehörde über diesen Umstand aktiv oder passiv getäuscht wurde. Denn die Zerrüttung einer anfänglich intakten Ehe stellt einen Prozess dar, der - besondere Umstände vorbehalten - regelmässig eine wesentlich längere Zeit als nur wenige Wochen oder Monate in Anspruch nimmt. Es ist daher an der Beschwerdeführerin, die erwähnte Vermutung zu erschüttern,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im Zeitpunkt der erleichterten Einbürgerung in guten Treuen von einer intakten Ehe ausgehen durfte.</w:t>
      </w:r>
    </w:p>
    <w:p>
      <w:r>
        <w:rPr>
          <w:b/>
        </w:rPr>
        <w:t>E. 7.3</w:t>
      </w:r>
    </w:p>
    <w:p>
      <w:r>
        <w:t>In ihrer schriftlichen Stellungnahme vom 8. Oktober 2012 bestritt die Beschwerdeführerin, unwahre Angaben zum Zustand ihrer Ehe getätigt zu haben. Ihr Ehemann sei ihr gegenüber immer sehr aufmerksam und grosszügig gewesen. Er habe sie selbst vor und nach der Scheidung noch finanziell unterstützt. Sie hätten eine gute Ehe geführt. Bei einem Altersunterschied von 22 Jahren komme aber früher oder später der Zeitpunkt, an dem beim Mann alles gleichzeitig wirke: Eifersucht, Krankheiten und Weisheit. Ihr Ex-Ehemann werde für sie immer der Freund, geliebte Mann und weise Lehrer bleiben. "Vor einem Jahr" sei es zu einer "kritischen Verquickung der Umstände" gekommen. Ihr Ehemann habe realisiert, dass er aus gesundheitlichen Gründen keine Kinder mehr haben könne. Er habe deshalb "entschieden", nicht verhindern zu wollen, dass sie eine "vollwertige Familie" gründe und dafür einen neuen Partner suche. Komme hinzu, dass es innerhalb der Familie des Ehemannes ihretwegen zu Spannungen gekommen sei. Der Sohn und die Tochter aus einer früheren Lebensgemeinschaft, aber auch ein Bruder ihres Ehemannes hätten sich aus finanziellen Gründen gegen ihre Beziehung gestellt. Sie habe erfolglos versucht, die Verwandten davon zu überzeugen, dass sie "keine Ansprüche auf sein Business, sein Erbe habe". Sohn und Tochter hätten ihren Vater unter Druck gesetzt und ihm mit einem Abbruch ihrer Kontakte gedroht. Er habe sich dann für seine Kinder entschieden, wofür sie ihn nicht verurteile. Und schliesslich habe sie im Zusammenhang mit einer traditionellen orthodoxen Silvesterfeier, bei der ihr damaliger Ehemann einem "Eifersuchtsangriff" ausgesetzt worden sei, "einen Fehler" begangen (Stellungnahme vom 8. Oktober 2012, SEM act. 9 S. 105 ff.).</w:t>
      </w:r>
    </w:p>
    <w:p>
      <w:r>
        <w:rPr>
          <w:b/>
        </w:rPr>
        <w:t>E. 7.4</w:t>
      </w:r>
    </w:p>
    <w:p>
      <w:r>
        <w:t>Die von der Vorinstanz zusätzlich eingeholten schriftlichen Auskünfte des Ex-Ehemannes (SEM act. 18 S. 105 ff.) waren nicht geeignet, Licht in die konkreten Ereignisse und deren zeitliche Zuordnung zu bringen. Gemäss ihm seien Schwierigkeiten in der Ehe aufgetreten, als die Beschwerdeführerin eine Vollzeitstelle angetreten habe. Er selbst habe das nicht gewollt. Zur Frage, welcher Partner zu welchem Zeitpunkt aus der ehelichen Wohnung ausgezogen sei, vermerkte der Ex-Ehegatte, sie hätten ihr Haus verkauft und seien eigene Wege gegangen, zuerst gemeinsam in einer Wohnung in der Stadt Schaffhausen. Zur Frage, ob die Ehe im Zeitpunkt der gemeinsamen Erklärung und der erleichterten Einbürgerung intakt gewesen sei, hielt der Ex-Ehegatte fest, er denke schon, wenn man das nach einigen Jahren des Zusammenseins als Realität bezeichnen könne. Auf die Frage, ob es während des Einbürgerungsverfahrens Schwierigkeiten in der Ehe gegeben habe, antwortete er, Schwierigkeiten gebe es in jeder Beziehung. Auf die Frage schliesslich, von wem und aus welchen Gründen der Trennungswunsch ausgegangen sei, hielt der Ex-Ehemann fest, er habe lieber wieder allein sein wollen.</w:t>
      </w:r>
    </w:p>
    <w:p>
      <w:r>
        <w:rPr>
          <w:b/>
        </w:rPr>
        <w:t>E. 7.5</w:t>
      </w:r>
    </w:p>
    <w:p>
      <w:r>
        <w:t>Damit machten weder die Beschwerdeführerin noch ihr Ex-Ehemann gegenüber der Vorinstanz ein ausserordentliches Ereignis geltend, welches geeignet gewesen wäre, eine im Zeitpunkt der Einbürgerung noch intakte eheliche Beziehung innert Wochen zu zerstören. Zwar siedelte die Beschwerdeführerin die aus ihrer Sicht wesentlichen Umstände in einem Zeitraum ein Jahr vor ihrer Stellungnahme (also im Herbst 2011) an. Diese zeitliche Situierung kann aber schon deshalb nicht zutreffen, weil die Scheidungskonvention im November 2010 und damit fast zwei Jahre vor dieser Stellungnahme verfasst wurde, die Trennung im Januar 2011 erfolgte und das Scheidungsbegehren im Juni 2011 gestellt wurde. Es kann auch nicht davon ausgegangen werden, die Beschwerdeführerin sei sich während des Einbürgerungsverfahrens bestehender Belastungen in ihrer Ehe nicht bewusst gewesen. Ihre Ausführungen im erstinstanzlichen Verfahren bestätigten vielmehr die aufgrund der Chronologie der Ereignisse bestehende Vermutung, dass die eheliche Gemeinschaft im fraglichen Zeitraum nicht mehr stabil und auf Zukunft gerichtet gewesen sein konnte. Umstände wie die ablehnende Haltung und der Druck naher Angehöriger auf den Ex-Ehemann, aber auch dessen gesundheitlichen Probleme und deren Auswirkungen auf eine allfällige Familienplanung konnten ihrer Art nach nicht Themen sein, die sich von einem Tag auf den anderen und für die Beschwerdeführerin überraschend einstellten.</w:t>
      </w:r>
    </w:p>
    <w:p>
      <w:r>
        <w:rPr>
          <w:b/>
        </w:rPr>
        <w:t>E. 8.1</w:t>
      </w:r>
    </w:p>
    <w:p>
      <w:r>
        <w:t>In ihrer Rechtsmitteleingabe vom 23. Juni 2013, die vom Ex-Ehemann mit unterzeichnet wurde, bestreitet die Beschwerdeführerin dennoch, im Einbürgerungsverfahren wissentlich falsche Angaben zum Zustand ihrer Ehe gemacht zu haben. Die Beziehung zu ihrem Ehemann sei im Zeitpunkt der erleichterten Einbürgerung stabil gewesen und auch nach der Scheidung stabil geblieben. Er kümmere sich nach wie vor um sie und helfe ihr in allen Belangen des Alltages. Dass sie die Beziehung ihres Mannes zu seinen Kindern aus einer früheren Beziehung respektiert und deshalb Zugeständnisse (auch in Form der Scheidung) gemacht habe, könne nicht gegen sie sprechen.</w:t>
      </w:r>
    </w:p>
    <w:p>
      <w:r>
        <w:rPr>
          <w:b/>
        </w:rPr>
        <w:t>E. 8.2</w:t>
      </w:r>
    </w:p>
    <w:p>
      <w:r>
        <w:t>Soweit die Beschwerdeführerin damit glaubhaft machen will, ihre Ehe sei immer intakt gewesen und nur auf Druck von aussen quasi aus Gründen der Vernunft aufgegeben worden, kann sie nicht überzeugen. Es erscheint geradezu lebensfremd, dass ein Ehegatte (in diesem Fall der Ehemann) eine seit Jahren bestehende, intakte und gelebte Ehe aufgibt, nur um dem Druck naher Verwandter nachzugeben, die eigene finanzielle Interessen gefährdet sehen. Der Umstand, dass die Ex-Ehegatten auch heute noch ein gutes Verhältnis untereinander pflegen, vermag an dieser Einschätzung nichts zu ändern. Zudem ist mit der Darstellungsweise der Beschwerdeführerin immer noch keine plausible Erklärung dafür gegeben, dass die Beteiligten nur gut einen Monat nach der Einbürgerung eine Scheidungskonvention ausarbeiteten, unterzeichneten und datierten und dass sie knapp zwei weitere Monate später getrennte Wohnsitze begründeten. Den von der Beschwerdeführerin praktisch kommentarlos eingereichten, undatierten Fotos kommt im vorliegend zu beurteilenden Zusammenhang kein Beweiswert zu.</w:t>
      </w:r>
    </w:p>
    <w:p>
      <w:r>
        <w:rPr>
          <w:b/>
        </w:rPr>
        <w:t>E. 8.3</w:t>
      </w:r>
    </w:p>
    <w:p>
      <w:r>
        <w:t>Der Beschwerdeführerin ist es solchermassen nicht gelungen, die natürliche Vermutung zu erschüttern, wonach zum Zeitpunkt der erleichterten Einbürgerung zwischen ihr und ihrem Ehemann keine stabile und auf Zukunft ausgerichtete eheliche Gemeinschaft mehr bestand und sie die mit dem Einbürgerungsgesuch befasste Behörde über diesen Umstand täuschte, sei es weil sie in der gemeinsamen Erklärung zum Zustand der Ehe falsche Angaben machte, sei es weil sie eine Änderung des Sachverhalts nicht anzeigte. Da der Bestand einer stabilen und auf die Zukunft ausgerichteten Ehe im Anwendungsbereich von Art. 27 Abs. 1 BüG eine erhebliche Tatsache darstellt, setzte die Beschwerdeführerin mit ihrem Verhalten den Nichtigkeitsgrund des Erschleichens im Sinne von Art. 41 Abs. 1 BüG. Die materiellen Voraussetzungen für die Nichtigerklärung der erleichterten Einbürgerung sind somit erfüllt.</w:t>
      </w:r>
    </w:p>
    <w:p>
      <w:r>
        <w:rPr>
          <w:b/>
        </w:rPr>
        <w:t>E. 9</w:t>
      </w:r>
    </w:p>
    <w:p>
      <w:r>
        <w:t>Art. 41 Abs. 1 BüG legt den Entscheid über die Nichtigerklärung in das pflichtgemässe Ermessen der Behörde. Die Rechtsprechung geht in diesem Zusammenhang allerdings davon aus, dass im Falle einer erschlichenen erleichterten Einbürgerung die Nichtigerklärung eine Regelfolge darstellt, von der nur unter ganz ausserordentlichen Umständen abzuweichen ist. Gründe, die es rechtfertigen würden, ermessensweise von der Regelfolge der Nichtigerklärung abzusehen, werden von der Beschwerdeführerin nicht geltend gemacht und solche sind auch nicht ersichtlich.</w:t>
      </w:r>
    </w:p>
    <w:p>
      <w:r>
        <w:rPr>
          <w:b/>
        </w:rPr>
        <w:t>E. 10</w:t>
      </w:r>
    </w:p>
    <w:p>
      <w:r>
        <w:t>Die angefochtene Verfügung erweist sich demnach als rechtmässig (Art. 49 VwVG) und die Beschwerde ist abzuweisen.</w:t>
      </w:r>
    </w:p>
    <w:p>
      <w:r>
        <w:rPr>
          <w:b/>
        </w:rPr>
        <w:t>E. 11</w:t>
      </w:r>
    </w:p>
    <w:p>
      <w:r>
        <w:t>Dem Ausgang des Verfahrens entsprechend wird die Beschwerdeführerin kostenpflichtig (Art. 63 Abs. 1 VwVG). Die Verfahrenskosten sind auf Fr. 1'000.-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