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C-3652/2013 vom 21. Oktober 2013</w:t>
      </w:r>
    </w:p>
    <w:p>
      <w:r>
        <w:t>Bundesverwaltungsgericht, 2013-10-21, IT</w:t>
      </w:r>
    </w:p>
    <w:p>
      <w:r>
        <w:rPr>
          <w:b/>
        </w:rPr>
        <w:t xml:space="preserve">Quelle: </w:t>
      </w:r>
      <w:r>
        <w:t>https://mcp.opencaselaw.ch/entscheid/bvger_C-3652_2013</w:t>
      </w:r>
    </w:p>
    <w:p>
      <w:r>
        <w:t>FR: TAF C-3652/2013 du 21 octobre 2013</w:t>
      </w:r>
    </w:p>
    <w:p>
      <w:r>
        <w:t>IT: TAF C-3652/2013 del 21 ottobre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e nello spazio Schengen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ALC).</w:t>
      </w:r>
    </w:p>
    <w:p>
      <w:r>
        <w:rPr>
          <w:b/>
        </w:rPr>
        <w:t>E. 1.2</w:t>
      </w:r>
    </w:p>
    <w:p>
      <w:r>
        <w:t>L'entrata in vigore, il 1° gennaio 2008, della legge federale sugli stranieri del 16 dicembre 2005 (LStr, RS 142.20) ha comportato l'abrogazione della LDDS conformemente all'art. 125 LStr in relazione con la cifra I dell'allegato 2 e delle relative ordinanze d'esecuzione di cui all'art. 91 dell'ordinanza del 24 ottobre 2007 sull'ammissione, il soggiorno e l'attività lucrativa (OASA, RS 142.201).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DTAF 2011/43 consid. 6).</w:t>
      </w:r>
    </w:p>
    <w:p>
      <w:r>
        <w:rPr>
          <w:b/>
        </w:rPr>
        <w:t>E. 3.1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della Costituzione federale della Confederazione svizzera del 18 aprile 1999 (Cost., RS 101 [cfr. anche DTF 127 I 133 consid. 6 e 109 Ib 246 consid. 4a e le sentenze del TAF C-4447/2008 del 15 mar­zo 2010 consid. 3.1 e C-3061/2009 del 17 febbraio 2010 consid. 2.1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3.2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3.3</w:t>
      </w:r>
    </w:p>
    <w:p>
      <w:r>
        <w:t>In concreto l'autorità inferiore è entrata nel merito della domanda di riesame, ha effettuato un esame materiale ed ha emesso una nuova decisione. Il Tribunale dispone perciò di piena cognizione per determinare se il divieto d'entrata è tuttora conforme al diritto federale. Per contro, la questione di sapere se la decisione originaria era giustificata non è più oggetto della presente procedura (cfr. DTAF 2008/24 consid. 2.2 e riferimenti ivi citati).</w:t>
      </w:r>
    </w:p>
    <w:p>
      <w:r>
        <w:rPr>
          <w:b/>
        </w:rPr>
        <w:t>E. 4.1</w:t>
      </w:r>
    </w:p>
    <w:p>
      <w:r>
        <w:t>Visto che la domanda di riesame oggetto della presente procedura di ricorso è stata inoltrata il 28 febbraio 2013 e dunque posteriormente all'entrata in vigore della LStr, e nella misura in cui a sostegno della propria richiesta il ricorrente fa in parte riferimento ad elementi posteriori all'entrata in vigore di questa legge, il nuovo diritto (materiale) è applicabile alla presente fattispecie in virtù della regolamentazione transitoria di cui all'art. 126 cpv. 1 LStr (cfr. in particolare la sentenza del Tribunale federale 2C_968/2011 del 20 febbraio 2012 consid. 1.4 e giurisprudenza ivi citata).Conformemente all'art. 126 cpv. 2 LStr, pure la procedura è retta dal nuovo diritto.</w:t>
      </w:r>
    </w:p>
    <w:p>
      <w:r>
        <w:rPr>
          <w:b/>
        </w:rPr>
        <w:t>E. 4.2</w:t>
      </w:r>
    </w:p>
    <w:p>
      <w:r>
        <w:t>A partire dal 12 dicembre 2008 sono entrati in vigore gli accordi inerenti alla normativa Schengen. In seguito allo sviluppo dell'acquis di Schengen, con effetto a decorrere dal 1° gennaio 2011, l'art. 67 LStr, il quale disciplina il divieto d'entrata, è stato ulteriormente modificato (cfr. nei dettagli RU 2010 5925 e FF 2009 7737).</w:t>
      </w:r>
    </w:p>
    <w:p>
      <w:r>
        <w:rPr>
          <w:b/>
        </w:rPr>
        <w:t>E. 4.3</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4.4</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Qualora il nuovo diritto deve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in linea generale ammissibile (cfr. Ulrich Häfelin / Georg Müller / Felix Uhlmann, Allgemeines Verwaltungsrecht, 5a ed., Zurigo/Basilea/San Gallo 2006, cifra 337 segg. e anche sentenza del TAF C-2482/2009 del 28 gennaio 2010 e DTAF 2009/3 consid. 3.2). In concreto ne discende che, alla presente causa, il nuovo diritto è applicabile, essendo il divieto d'entrata emanato nei confronti del ricorrente tuttora effettivo.</w:t>
      </w:r>
    </w:p>
    <w:p>
      <w:r>
        <w:rPr>
          <w:b/>
        </w:rPr>
        <w:t>E. 4.5</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4.6</w:t>
      </w:r>
    </w:p>
    <w:p>
      <w:r>
        <w:t>Per quanto concerne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4.7</w:t>
      </w:r>
    </w:p>
    <w:p>
      <w:r>
        <w:t>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5</w:t>
      </w:r>
    </w:p>
    <w:p>
      <w:r>
        <w:t>Il ricorrente è di nazionalità italiana, di conseguenza nella valutazione della presente causa è necessario tenere conto delle disposizioni dell'ALC. La LStr è applicabile solo se l'Accordo non contiene disposizioni derogatorie o se la legge precitata prevede disposizioni più favorevoli (cfr. art. 2 cpv. 2 LStr).</w:t>
      </w:r>
    </w:p>
    <w:p>
      <w:r>
        <w:rPr>
          <w:b/>
        </w:rPr>
        <w:t>E. 5.1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par. 2 allegato I ALC in relazione con l'art. 16 par.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5.3</w:t>
      </w:r>
    </w:p>
    <w:p>
      <w:r>
        <w:t>In particolare i reati di droga sono considerati gravi e tali da ledere l'ordine pubblico nonché la sicurezza della società e giustificano pertanto l'in­tervento rigoroso e deciso da parte delle autorità competenti. La protezione della collettività, di fronte allo sviluppo del traffico di droga, costituisce indubbiamente un interesse pubblico preponderante che giustifica l'emissione di una misura di allontanamento nei confronti di chi si è reso punibile di gravi infrazioni contro la legislazione sugli stupefacenti. Tali atti criminosi rappresentano in effetti un reale pericolo per la salute e la vita di numerose persone (cfr. sentenza del Tribunale federale 2C_313/2010 del 28 luglio 2010 consid. 5.2; sentenza del Tribunale amministrativo federale C-8304/2007 del 2 settembre 2009 consid. 9.2 e giurisprudenza ivi citata). Le infrazioni alla LStup, in particolare il traffico di droga, costituiscono in generale una violazione molto grave alla sicurezza e all'ordine pubblico (cfr. sentenza del Tribunale federale 2C_139/2013 dell'11 giugno 2013 consid. 6.2.3 e riferimenti ivi citati).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pag. 222, DTF 125 II 521 consid. 4a/aa pag. 526 seg.).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6.1</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6.2</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Con sentenza del 9 dicembre 1994, confermata su ricorso dalla CCRP in data 11 maggio 1995, la CAC di Lugano ha condannato A._______ per ripetuta infrazione alla LStup aggravata e complicità alla stessa legge, ripetuta infrazione alla LStup e contravvenzione alla medesima legge, alla pena di 6 anni di reclusione nonché all'espulsione dal territorio svizzero per 15 anni. Per quanto attiene 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L'autorità penale ha in particolare contestato all'interessato di avere, nel corso del 1993, partecipato alla preparazione, organizzazione ed esecuzione di un vasto traffico internazionale di cocaina dal Brasile all'Europa per un quantitativo di circa 5 kg, venduto al dettaglio almeno circa 20 grammi di cocaina, nonché consumato nel periodo novembre 1992 - novembre 1993 un quantitativo imprecisato della stessa sostanza. Relativamente alla condanna, i giudici penali hanno rilevato che "il traffico messo in atto dagli imputati assume connotazioni di estrema gravità se si pone mente appena ai quantitativi trattati, all'intensa attività delittuosa che si è protratta in un periodo prolungato di tempo sull'arco di diversi mesi nel corso del 1993 ed in modo reiterato, a dimostrazione della loro determinazione" (cfr. sentenza CAC, pag. 60). Per quanto attiene il ricorrente, essi hanno sottolineato che "l'intensità del suo agire è andata comunque sempre in crescendo", rilevando inoltre che "nell'ambito dell'inchiesta l'imputato non ha dimostrato particolare collaborazione manifestando anzi in taluni casi irragionevole negazione di fatti evidenti (cfr. sentenza CAC, pag. 64-65). Inoltre con sentenza del 23 dicembre 2005, il Tribunale di Piacenza ha condannato A._______ per cessione illecita di sostanze stupefacenti continuato (reati commessi dal 2003 al marzo 2005) alla pena di 2 anni e 8 mesi di reclusione e alla multa di Euro 2'800.-, pena in parte condonata a seguito dell'applicazione dell'indulto (cfr. estratto del casellario giudiziale italiano del 6 marzo 2013).</w:t>
      </w:r>
    </w:p>
    <w:p>
      <w:r>
        <w:rPr>
          <w:b/>
        </w:rPr>
        <w:t>E. 7.2</w:t>
      </w:r>
    </w:p>
    <w:p>
      <w:r>
        <w:t>Nella sua domanda di riesame del 28 febbraio 2013, nonché nel quadro della procedura ricorsuale oggetto della presente vertenza A._______ ha rilevato come da circa 8 anni egli non ha abbia dato adito a lagnanze sia nel suo Paese che in Svizzera, sottolineando l'assenza di una concreta minaccia per l'ordine pubblico tale da giustificare il mantenimento del divieto d'entrata emanato nei suoi confronti oltre 17 anni orsono. Egli ha quindi sostenuto di non costituire più alcun pericolo concreto ed immediato per la sicurezza e l'ordine pubblici, evidenziando di avere sempre svolto un lavoro onesto ritrovando quindi la necessaria stabilità economica.</w:t>
      </w:r>
    </w:p>
    <w:p>
      <w:r>
        <w:rPr>
          <w:b/>
        </w:rPr>
        <w:t>E. 7.3</w:t>
      </w:r>
    </w:p>
    <w:p>
      <w:r>
        <w:t>L'art. 67 cpv. 3 LStr attualmente in vigore permette alle autorità svizzere di pronunciare un divieto d'entrata per una durata maggiore ai 5 anni, se l'interessato costituisce un grave pericolo per l'ordine e la sicurezza pubblici. In una recente giurisprudenza, il Tribunale federale ha rilevato che la graduazione delle esigenze prevista nella suddetta disposizione a seconda che l'autorità intenda pronunciare un divieto per una durata inferiore o superiore a 5 anni non si fonda sull'ALC e nemmeno sulla giurisprudenza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Poiché la LStr non opera alcuna distinzione tra cittadini di Stati ALC e stati terzi (l'art. 67 cpv. 3 LStr riprende infatti il contenuto dell'art. 11 cpv. 2 direttiva 2008/115/CE) e poiché l'ALC è silente sulle misure di divieto d'entrata e a fortiori sulla possibile durata delle stesse, si deve intendere che il legislatore ha voluto regolare i provvedimenti di divieto d'entrata superiori a cinque anni allo stesso modo per le due categorie di cittadini di stati terzi (membri ALC o meno). Si tratta dunque di determinare quali siano le condizioni poste dall'autorità, a fondamento di un provvedimento di divieto d'entrata per una durata superiore a 5 anni; in altre parole definire i criteri sui quali l'autorità riconosce o meno l'esistenza del "grave pericolo per l'ordine e la sicurezza pubblici", giusta l'art. 67 cpv. 3 LStr. In proposito la recente giurisprudenza ha indicato che la nozione di "pericolo grave" richiede un grado di gravità maggiore al "semplice" pericolo o minaccia all'ordine e la sicurezza pubblici (cfr. art. 67 cpv. 2 let.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esaminata in concreto, sulla base degli atti di causa (cfr. Marc Spescha, Migrationsrecht-Kommentar, 3 ed., ad art. 67 LEtr, n. 5 pag. 196; Andrea Binder Oser, Bundesgesetz über die Ausländer/innen, ad art. 67 LEtr, n. 24 pag. 689 ).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(cfr.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sentenza del Tribunale federale 2C_318/2012 del 22 febbraio 2013 consid. 6).</w:t>
      </w:r>
    </w:p>
    <w:p>
      <w:r>
        <w:rPr>
          <w:b/>
        </w:rPr>
        <w:t>E. 7.4</w:t>
      </w:r>
    </w:p>
    <w:p>
      <w:r>
        <w:t>La durata del divieto d'entrata originario pronunciato nei confronti di A._______ era illimitata: occorre dunque esaminare in concreto se egli costituisce ancora un "grave pericolo per l'ordine e la sicurezza pubblici" ai sensi dell'art. 67 cpv. 3 ultima frase LStr (cfr. supra 7.3 e giurisprudenza ivi citata). Dagli atti di causa emerge come, dopo la decisone di divieto d'entrata, in data 23 dicembre 2005 A._______ sia stato condannato in Italia a 2 anni e 8 mesi di reclusione per il reato continuato di cessione illecita di sostanze stupefacenti, poco importa se in parte non espiati a seguito dell'indulto (pena condonata: 1 anno, 10 mesi e 11 giorni). Tenuto conto della gravità e della pericolosità delle infrazioni commesse dal ricorrente nella vicina Penisola posteriormente alla condanna subita in Svizzera per gli stessi reati, in particolare dei beni giuridici estremamente sensibili toccati, segnatamente la salute pubblica, i presupposti per una restrizione al principio della libera circolazione sono ancora adempiuti. Pur riconoscendo i notevoli progressi compiuti dall'interessato, il Tribunale ritiene, alla luce della gravità dei reati commessi per un notevole lasso di tempo (tra il 2003 ed il marzo 2005), che al momento la sua situazione personale non si è stabilizzata in modo tale da consentire l'annullamento del provvedimento in oggetto. Alla luce di quanto esposto, il pericolo rappresentato da A._______ può essere designato quale grave minaccia, vale a dire un pericolo particolarmente serio proprio a giustificare che il diritto dell'interessato a circolare liberamente sul territorio svizzero sia soppresso per una durata superiore ai 5 anni. Tuttavia, tenuto conto dell'insieme delle circostanze, in particolare del principio della libera circolazione delle persone, del tempo trascorso dalle ultime infrazioni commesse, della situazione famigliare dell'interessato e dopo una ponderazione degli interessi pubblici e privati in gioco, si giustifica una limitazione del divieto d'entrata in Svizzera al 23 ottobre 2016, così come proposto dall'autorità di prime cure.</w:t>
      </w:r>
    </w:p>
    <w:p>
      <w:r>
        <w:rPr>
          <w:b/>
        </w:rPr>
        <w:t>E. 8</w:t>
      </w:r>
    </w:p>
    <w:p>
      <w:r>
        <w:t>Nel corso della procedura, A._______ ha inoltre affermato che il divieto d'entrata pronunciato nei suoi confronti lo priverebbe della possibilità di mantenere dei legami regolari con le tre sorelle e i cugini residenti in Svizzera, prevalendosi quindi, almeno implicitamente, del diritto al rispetto della vita privata e famigliare garantito dall'art. 8 CEDU.</w:t>
      </w:r>
    </w:p>
    <w:p>
      <w:r>
        <w:rPr>
          <w:b/>
        </w:rPr>
        <w:t>E. 8.1</w:t>
      </w:r>
    </w:p>
    <w:p>
      <w:r>
        <w:t>Questa disposizione tutela la vita privata e familiare delle persone. Essa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dalla suddetta disposizione sono in particolare i rapporti tra i coniugi, nonché quelli tra i genitori e i figli minorenni che vivono in comunione. Eccezionalmente sono presi in considerazione anche i rapporti tra i genitori e i figli maggiorenni se vi è un particolare rapporto di dipendenza tra loro (DTF 129 II 11 consid. 2).</w:t>
      </w:r>
    </w:p>
    <w:p>
      <w:r>
        <w:rPr>
          <w:b/>
        </w:rPr>
        <w:t>E. 8.2</w:t>
      </w:r>
    </w:p>
    <w:p>
      <w:r>
        <w:t>Nella fattispecie, le relazioni tra il ricorrente e le sue sorelle e cugini non rientrano manifestamente tra quelle protette dall'art. 8 CEDU, il quale non trova quindi applicazione. La situazione personale dell'interessato non gli impedisce inoltre di intrattenere dei rapporti con i suoi parenti residenti in Svizzera tramite la visita degli stessi in Italia o con la richiesta di sospensioni del divieto in atto nei suoi confronti.</w:t>
      </w:r>
    </w:p>
    <w:p>
      <w:r>
        <w:rPr>
          <w:b/>
        </w:rPr>
        <w:t>E. 9</w:t>
      </w:r>
    </w:p>
    <w:p>
      <w:r>
        <w:t>Ne discende che l'UFM con decisione del 27 maggio 2013 non ha violato il diritto federale, né abusato del suo potere di apprezzamento; l'autorità di prime cure non ha accertato in modo inesatto o incompleto i fatti giuridicamente rilevanti ed inoltre la decisione non è inadeguata (art. 49 PA). Per questi motivi il ricorso va respinto. Ne consegue che la durata del divieto d'entrata è limitata al 23 ottobre 2016. 10.Visto l'esito della procedura, le spese processuali vengono poste a carico del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