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C-3643/2015 vom 29. April 2016</w:t>
      </w:r>
    </w:p>
    <w:p>
      <w:r>
        <w:t>Bundesverwaltungsgericht, 2016-04-29, FR</w:t>
      </w:r>
    </w:p>
    <w:p>
      <w:r>
        <w:rPr>
          <w:b/>
        </w:rPr>
        <w:t xml:space="preserve">Quelle: </w:t>
      </w:r>
      <w:r>
        <w:t>https://mcp.opencaselaw.ch/entscheid/bvger_C-3643_2015</w:t>
      </w:r>
    </w:p>
    <w:p>
      <w:r>
        <w:t>FR: TAF C-3643/2015 du 29 avril 2016</w:t>
      </w:r>
    </w:p>
    <w:p>
      <w:r>
        <w:t>IT: TAF C-3643/2015 del 29 aprile 2016</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 3.1 L'interdiction d'entrée, qui permet d'empêcher l'entrée ou le retour en Suisse (respectivement dans l'Espace Schengen) d'un étranger dont le sé­jour y est indésirable, est régie par l'art. 67 LEtr, dans sa teneur en vigueur depuis le 1er janvier 2011 (RO 2010 5925 [5929, 5933]). 3.2 Selon l'art. 67 al. 2 let. a LEtr,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3.3 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Tel est le cas, en particulier, lorsqu'il y a eu violation importante ou répétée de prescriptions légales (y compris de prescriptions du droit en matiè­re d'étrangers) ou de décisions d'autorités (cf. Message LEtr du 8 mars 2002, p. 3564 ad art. 61 du projet, et p. 3568 ad art. 66 du projet). 3.4 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du 8 mars 2002, p. 3568 ad art. 66 du projet; Zünd/Ar­quint Hill, Beendigung der An­­wesenheit, Entfernung und Fernhaltung, in: Ue­ber­sax/Rudin/Hugi Yar/Geiser [éd.], Ausländerrecht, Bâle 2009, p. 355 n. 8.80). 4.1 Dans la mesure où le recourant, en tant que citoyen portugais, est un ressortissant communautaire, il convient de vérifier si la mesure d'éloi­gne­ment prononcée à son endroit est conforme à l'ALCP. 4.2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4.2.1 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 4.3 On relèvera dans ce contexte que, dans son arrêt précité publié in: ATF 139 II 121 (consid. 6.1), le Tribunal fédéral a apporté une distinction, dans l'application de l'art. 67 al. 3 1ère phrase LEtr, selon que la personne concernée est ou non au bénéfice de l'ALCP.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 5.1 A l'examen du dossier, il appert que X._______a a régulièrement occupé la justice suisse et qu'il a été condamné à huit reprises entre le 6 juin 2005 et le 27 mars 2014, principalement à des peines privatives de liberté qui, additionnées entre elles, dépassent la durée de quatre ans (cf. consid. A, C et J). A cela s'ajoute encore qu'il a été condamné par défaut le 16 décembre 2015 pour des infractions remontant au mois de décembre 2008 à une peine privative de liberté de 11 mois, peine complémentaire à celles prononcées par jugements des 24 mars 2009, 6 avril 2010, 9 mars 2011 et 22 mai 2012. Parmi les faits reprochés à l'intéressé, on dénombre des contraventions à la LStup, des infractions à la loi fédérale sur les armes, à la loi sur la circulation routière (conducteur pris de boisson, tentative d'opposition à une prise de sang, violation des devoirs en cas d'accident, conduite sans permis ou malgré un retrait), des violence ou menace contre les autorités et les fonctionnaires et, surtout, des infractions contre l'intégrité corporelle (lésions corporelles simples, simples qualifiées et graves). C'est le lieu de rappeler que le Tribunal fédéral se montre particulièrement rigoureux - suivant en cela la pratique de la Cour européenne des droits de l'homme - en présence d'actes de violence criminelle (cf. consid. 4.2.1 et jurisprudence citée), qui représentent une atteinte très grave à la sécurité et à l'ordre publics. Il est patent que les infractions reprochées au recourant - au regard de leur nature et de leur gravité - sont non seulement constitutives d'un trouble à l'ordre social, mais également de nature à présenter objective­ment une menace réelle pouvant affecter gravement un intérêt fon­damental de la société. 5.2 Il convient par ailleurs d'admettre que la menace présentée par le re­courant pour l'ordre et la sécurité publics est toujours d'actualité. Comme l'ont déjà relevé le Tribunal du canton de Vaud (cf. arrêt du 15 mai 2013 consid. 2) et le Tribunal fédéral (cf. arrêt du 6 décembre 2013 consid. 3.6), ainsi que les autorités judiciaires pénales (cf. notamment jugement de la Cour d'appel pénale du Tribunal du canton de Vaud du 30 octobre 2012 consid. 4.2.1), le recourant est un récidiviste dont la violence n'a pas diminué au fil du temps : il a été successivement condamné, le 26 octobre 2006, pour des coups de couteau donnés au visage d'une victime, ayant occasionné quatre points de suture; le 24 mars 2009, pour avoir donné de nombreux coups de pied-de-biche à une autre victime, principalement à la tête et aux membres supérieurs, causant en particulier à celle-ci un traumatisme crânien et quatre plaies du cuir chevelu ayant nécessité des sutures; le 6 avril 2010 pour le port d'un poing américain; le 9 mars 2011, pour, d'une part, s'en être pris à un client de la boîte de nuit dans laquelle il travaillait et, d'autre part, pour des coups de couteau à ouverture automatique portés au visage de son antagoniste, ayant occasionné chez ce dernier une plaie de la joue gauche, avec section de l'artère faciale et, probablement, une cicatrice persistante et gênante et, enfin, le 22 mai 2012, pour avoir violemment frappé deux plaignants occasionnant pour l'un d'entre eux des lésions nécessitant le port d'une attelle plâtrée et un arrêt de travail pendant plusieurs jours. La culpabilité accablante du recourant n'a cessé d'être soulignée par les tribunaux pénaux, qui, tour à tour, ont relevé que la violence qui animait parfois le recourant était d'autant plus inquiétante qu'elle était déclenchée pour des motifs futiles. Le jugement de la Cour d'appel pénale du Tribunal cantonal du 30 octobre 2012 retient à cet égard que le recourant a agi sans motif autre que celui de frapper les victimes, après les avoir provoquées à dessein, faisant preuve de lâcheté et d'une extrême violence, immobilisant et frappant les victimes à tour de rôle avec son comparse, à coups de poing et de pied sur tout le corps, en visant la tête. Frappant l'une des victimes alors qu'elle se trouvait au sol, le recourant a été perçu par les témoins comme étant le plus violent - il a été décrit par l'un d'entre eux comme paraissant être entraîné pour se bagarrer et le recourant a confirmé pratiquer de la boxe anglaise (cf. jugement du Tribunal de police à Lausanne du 22 mai 2012, p. 17) - et a choqué ceux-ci lorsqu'il a, après la bagarre, abandonné le plaignant inerte sur le sol, puis a ajusté sa veste, avant de se diriger vers des amis qu'il a salués comme si rien ne s'était passé. La Cour d'appel précitée a relevé en outre l'absence de prise de conscience et le peu de respect que le recourant, qui persistait à nier les faits, avait pour son entourage, à qui il cherchait avant tout à montrer sa force et a relevé que les différentes peines avec sursis et les prolongations de sursis n'avaient eu aucun effet sur l'intéressé, qui avait agi dans les délais d'épreuve et qui ne semblait pas en mesure de régler ses différends autrement que par la violence. Dans ce contexte, il sied de relever que l'attitude correcte d'un condamné durant l'exécution d'une peine ou d'une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La libération conditionnelle de l'exé­cution d'une peine (au sens de l'art. 86 CP) ou d'une mesure institution­nelle (au sens de l'art. 62 CP) n'est donc pas décisive pour apprécier la dangerosité pour l'ordre public de celui qui en bénéficie et l'autorité de po­lice des étrangers est libre de tirer ses propres conclusions à ce sujet (cf. ATF 137 II 233 consid. 5.2.2, 130 II 176 consid. 4.3.3; arrêt du TF 2C_139/2014 du 4 juillet 2014 consid. 4.4, et la juris­pru­dence citée). 5.3 Force est dès lors de constater que le recourant a violé de manière importante et répétée des prescriptions légales ayant été édictées dans le but de maintenir la sécurité et l'ordre publics (cf. art. 67 al. 2 let. a LEtr) et que son comportement est suscept­ible de représenter, encore actuellement, une menace réelle et suffisam­ment grave pour l'ordre public pour justifier une mesure au sens de l'art. 5 par. 1 annexe I ALCP. Il est à noter à ce propos que le Tribunal fédéral (cf. arrêt du 6 décembre 2013 consid. 3.7) avait estimé que c'était à bon droit que le Tribunal cantonal vaudois avait retenu que le risque de récidive était important et d'actualité, appréciation conforme à la disposition conventionnelle précitée. 5.4 Sur le principe, l'interdiction d'entrée prononcée le 1er mai 2015 à l'encontre de l'intéressé s'avère donc parfaitement justifiée, tant du point de vue du droit interne qu'à la lumière de la réglementation communautaire et de la jurisprudence y relative.</w:t>
      </w:r>
    </w:p>
    <w:p>
      <w:r>
        <w:rPr>
          <w:b/>
        </w:rPr>
        <w:t>E. 6.1</w:t>
      </w:r>
    </w:p>
    <w:p>
      <w:r>
        <w:t>A ce stade, il sied encore de vérifier si le prononcé à l'endroit du re­courant d'une interdiction d'entrée d'une durée supérieure à cinq ans était justifié à la lumière de l'art. 67 al. 3 2ème phrase LEtr et des principes dégagés par la jurisprudence.</w:t>
      </w:r>
    </w:p>
    <w:p>
      <w:r>
        <w:rPr>
          <w:b/>
        </w:rPr>
        <w:t>E. 6.2</w:t>
      </w:r>
    </w:p>
    <w:p>
      <w:r>
        <w:t>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6.3</w:t>
      </w:r>
    </w:p>
    <w:p>
      <w:r>
        <w:t>En l'occurrence, comme on l'a vu, le recourant a été condamné à huit reprises entre le 6 juin 2005 et le 27 mars 2014, principalement à des peines privatives de liberté qui, additionnées entre elles, dépassent la durée de quatre ans. Ainsi qu'il ressort des pièces du dossier (cf. consid. A, C, J supra) et comme cela a déjà été mis en exergue plus haut (cf. consid. 5.2), l'intéressé a notamment été condamné à plusieurs reprises pour des infractions contre l'intégrité corporelle et les tribunaux pénaux ont relevé que sa violence n'avait pas diminué au fil du temps, que sa culpabilité était accablante, que la violence qui pouvait l'animer était d'autant plus inquiétante qu'elle pouvait être déclenchée pour des motifs futiles, que l'intéressé - persistant à nier les faits - n'avait pas pris conscience de ses actes et que les sursis qui lui avaient été accordés successivement ne l'avaient pas dissuadé de récidiver (cf. jugement du Tribunal d'arrondissement de Lausanne du 9 mars 2011 consid. IV 3; jugement du Tribunal de police du 22 mai 2012 consid. IV b; jugement de la Cour d'appel pénale du 30 octobre 2012 du Tribunal cantonal vaudois du 30 octobre 201 consid 4.2.1). A cela s'ajoute encore le fait que le recourant a été à nouveau condamné après sa libération conditionnelle pour des faits certes moins graves (infractions à la LR; cf. consid. J), mais remontant au mois de janvier 2014, soit dans la durée du délai d'épreuve fixé dans le cadre de sa libération conditionnelle (cf. consid. E). Par ses agissements délictueux perpétrés à réitérées reprises, le recourant a démontré par là qu'il ne voulait pas ou n'était pas capable de s'adapter à l'ordre établi en Suisse.</w:t>
      </w:r>
    </w:p>
    <w:p>
      <w:r>
        <w:rPr>
          <w:b/>
        </w:rPr>
        <w:t>E. 6.4</w:t>
      </w:r>
    </w:p>
    <w:p>
      <w:r>
        <w:t>Dans ces conditions, il convient d'admettre que le recourant, compte tenu de l'activité délictuelle qu'il a déployée à partir de 2003 (date de la commission de ses premières infractions), de la gravité intrinsèque des infractions qu'il a commises et de son incapacité à se conformer à l'ordre établi, alors même qu'il avait déjà été condamné par le passé pour des actes similaires, n'a cessé de déployer une énergie criminelle représentant une menace actuelle et grave pour la sécurité et l'ordre publics. Le Tribunal rappelle encore qu'en commettant des agressions avec une arme (cf. consid. 5.2), l'intéressé a porté atteinte à un bien juridique important (intégrité physique) sur lequel le Tribunal fédéral se montre particulièrement rigoureux (cf. consid. 4.2.1 in fine). Le palier II fixé dans l'ATF 139 II 121, qui présuppose une menace caractérisée, est atteint, de sorte que la limite de la durée maximale prévue à l'art. 67 al. 3 1ère phrase LEtr peut être franchie. Le prononcé à son endroit d'une mesure d'éloignement d'une durée supé­rieure à cinq ans était dès lors parfaitement justifié.</w:t>
      </w:r>
    </w:p>
    <w:p>
      <w:r>
        <w:rPr>
          <w:b/>
        </w:rPr>
        <w:t>E. 7</w:t>
      </w:r>
    </w:p>
    <w:p>
      <w:r>
        <w:t>Dans son recours, X._______a s'est prévalu des art. 8 CEDH et 13 Cst., arguant notamment que la décision querellée l'empêchait de pouvoir mener une vie familiale en Suisse auprès de sa compagne et de sa fille, ressortissantes françaises titulaires d'autorisation de séjour UE/AELE dans le canton de Vaud.</w:t>
      </w:r>
    </w:p>
    <w:p>
      <w:r>
        <w:rPr>
          <w:b/>
        </w:rPr>
        <w:t>E. 7.1</w:t>
      </w:r>
    </w:p>
    <w:p>
      <w:r>
        <w:t>Il convient d'abord de relever que la garantie de la protection de la vie privée et familiale accordée par l'art 13 Cst. concorde largement, sur le plan matériel, avec celle découlant de l'art. 8 CEDH (cf. message du 20 novembre 1996 relatif à une nouvelle constitution fédérale, in: FF 1997 I 1, p. 154; ATF 126 II 377 consid. 7 p. 395). Cela étant, il est à noter qu'à l'instar du refus d'une autorisation de séjour, l'interdiction d'entrée en Suisse peut effectivement comporter une ingérence dans la vie privée et familiale garantie par la disposition conventionnelle précitée (cf. arrêt du TF 2C_664/2009 du 25 février 2010 consid. 5). Toutefois,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7.1.1</w:t>
      </w:r>
    </w:p>
    <w:p>
      <w:r>
        <w:t>Dans le cas particulier, il convient de relever au préalable que l'impossibilité pour le recou­rant de résider durablement en Suisse et d'y travailler ne résulte pas de la mesure d'éloignement litigieuse, mais découle du fait qu'il n'est plus titulaire d'un titre de séjour dans ce pays. En effet, par décision du 15 novembre 2012, confirmée sur recours le 15 mai 2013 par le TC-VD, puis le 6 décembre 2013 par le Tribunal fédéral, les autorités vaudoises de police des étrangers ont révoqué l'autorisation d'établissment du recourant et prononcé son renvoi de Suisse (cf. consid. D et F supra). A la suite de ces décisions, l'intéressé a du reste quitté la Suisse. Il s'ensuit que l'appréciation de la situation du recourant, sous l'angle de l'art. 8 CEDH, ne vise qu'à exa­miner si l'interdiction d'entrée prononcée à l'endroit de l'intéressé complique de façon disproportionnée le maintien des relations familiales de ce dernier avec ses proches domiciliés en Suisse, pour autant que ceux-ci puissent être compris dans le cercle des personnes visées par la disposition précitée (cf. notamment arrêts du TAF C-877/2013 du 18 dé­cembre 2014 consid. 6.3.2; C-3698/2010 du 12 mars 2013 consid. 8.1).</w:t>
      </w:r>
    </w:p>
    <w:p>
      <w:r>
        <w:rPr>
          <w:b/>
        </w:rPr>
        <w:t>E. 7.1.2</w:t>
      </w:r>
    </w:p>
    <w:p>
      <w:r>
        <w:t>Le recourant ne peut pas invoquer le droit au respect de la vie fami­liale garanti par l'art. 8 par. 1 CEDH envers son amie (respectivement sa concubine) suisse. Il convient en effet de rappeler que cette norme conventionnelle vise avant tout les relations qui existent en­tre époux (cf. consid. 9.1 ci-dessus)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arrêts du TF 2C_614/2013 du 28 mars 2014 consid. 3.1, 2C_546/2013 du 5 dé­cembre 2013 consid. 4.1, et la jurispruden­ce citée). Or, force est de constater que le recourant est majeur et ne se trouve pas dans un état de dépendance (tel que défini par la jurisprudence susmentionnée) vis-à-vis de son amie avec laquelle il n'est pas marié. On relèvera, au demeurant, que même si son amie venait à l'épouser, elle devrait s'attendre à devoir vivre sa vie matrimoniale à l'étranger, car selon la pratique applicable aux conjoints étrangers de ressortis­sants suisses (instaurée par l'arrêt Reneja, publié in: ATF 110 Ib 201) et - par ana­­logie - aux conjoints étrangers de personnes titulaires d'un permis d'éta­blissement, laquelle s'applique a fortiori aux conjoints étrangers de personnes titulaires d'une autorisation de séjour (cf. arrêt TAF C 2793/2010 du 23 janvier 2013 consid. 4.3.2 et 5.3, et la jurispru­dence), une condamnation à une peine privative de liberté de deux ans constitue la limite à partir de laquelle il y a en principe lieu de considérer que l'intérêt public à l'éloignement de l'étranger concerné de Suisse l'emporte sur son intérêt pri­vé et celui des siens à pouvoir vivre leur vie familiale en Suisse (cf. en ce sens arrêts du TAF C- 2613/2011 du 19 novem­bre 2014 consid. 8.3.2, C 2793/2010 du 23 janvier 2013 consid. 4.3.2, et la jurispru­dence citée). A ce propos, les autorités vaudoises compétentes ont d'ailleurs rejeté la demande de réexamen concernant la révocation de l'autorisation d'établissement déposée par l'intéressé le 20 mars 2014 (cf. consid. I). Cela étant, le Tribunal relève que la notion de "famille" au sens de l'art. 8 CEDH ne se limite toutefois pas aux seules relations fondées sur le mariage, mais peut englober d'autres liens "familiaux" de fait, lorsque les parties cohabitent en dehors du mariage. Selon le Tribunal fédéral, des concubins qui n'envisagent pas le mariage peuvent invoquer la protection de l'art. 8 par. 1 CEDH seulement s'il existe des circonstances particulières démontrant la stabilité et l'intensité de leur relation, comme la présence d'enfants communs ou une très longue durée de vie commune (cf. arrêts 2C_1035/2012 du 21 décembre 2012 consid. 5.1, 2C_205/2012 du 2 mars 2012 consid. 4.1, 2C_634/2011 du 27 juin 2012 consid. 4.2.2; 2C_97/2010 du 4 novembre 2010 consid. 3.1 et 3.2; 2C_25/2010 du 2 novembre 2010 consid. 6.1). Même si dans le cas d'espèce, l'intéressé et sa compagne ont eu un enfant commun en octobre 2013 et ont vécu ensemble dans le canton de Vaud dès 2009 - exception faite de la durée de la détention préventive (dès le 23 septembre 2010) et de l'exécution de la peine subséquente au jugement du 9 mars 2011 jusqu'à la libération conditionnelle (à savoir le 15 juillet 2013) et à son départ de Suisse (soit le 25 juin 2014) - le recourant ne saurait toutefois invoquer la protection de l'art. 8 par. 1 CEDH pour s'opposer à l'ingérence dans l'exercice de son droit au respect de la vie fami­liale en raison des condamnations dont il a fait l'objet (cf. art. 8 par. 2 CEDH et consid. 8.1 in fine). Le Tribunal relève encore que l'intéressé pourrait en principe se prévaloir encore de la protection de la vie fami­liale conférée par l'art. 8 par. 1 CEDH à l'égard de sa fille mineure, O._______, qui vit auprès de sa mère en Suisse, dans la mesure où l'interdiction d'entrée querellée serait susceptible d'avoir des incidences sur leurs relations personnelles. Cependant, le maintien de l'interdiction d'entrée en Suisse ne contreviendrait pas à la disposition précitée, dès lors qu'une ingérence dans l'exercice du droit à la protection de la vie familiale s'avère justifiée, conformément à l'art. 8 par. 2 CEDH, compte tenu des nombreuses condamnations pénales, notamment pour lésions corporelles (cf. consid. 5.2) dont le recourant a fait l'objet. Cette question sera encore abordée ci-après dans le cadre de la pesée des intérêts qu'implique l'examen de la proportionnalité de l'interdiction d'entrée querellée (cf. consid. 8.2.2 infra). Au demeurant, le maintien de cette décision ne signifie pas pour l'intéressé la perte de tout lien avec sa fille séjournant en Suisse. En effet, l'enfant précitée, âgée actuellement de moins de 3 ans, accompagnée de sa mère, peut rencontrer son père lors de séjours en France, pays limitrophe de la Suisse et dont elles sont ressortissantes. Le recou­rant peut en outre continuer d'entretenir avec cette dernière en Suisse des contacts réguliers par téléphone ou vidéo conférence [Skype] (cf. notamment arrêts du TF 2C_979/2013 du 25 février 2014 consid. 6.2; 2C_560/2011 du 20 février 2012 consid. 8.1 in fine, et jurisprudence citée). L'intéressé garde en outre la faculté de solli­citer auprès du SEM, de manière ponctuelle et en présence de motifs humanitaires ou importants, la délivrance de sauf-conduits aux fins de se rendre temporairement en Suisse (cf. art. 67 al. 5 LEtr [cf. notamment arrêt du TF 2C_238/2012 du 30 juillet 2012 consid. 4.3; arrêt du TAF C-3076/2013 du 12 mars 2015 consid. 7.3.2 in fine]). L'interdiction d'entrée querellée ne constitue donc pas un obstacle insurmontable au maintien de relations familiales du recourant avec sa fille séjournant en Suisse. A cela s'ajoute que la compagne du recourant et leur fille, toutes deux ressortissantes françaises, peuvent tout à fait s'établir en France auprès de l'intéressé.</w:t>
      </w:r>
    </w:p>
    <w:p>
      <w:r>
        <w:rPr>
          <w:b/>
        </w:rPr>
        <w:t>E. 8</w:t>
      </w:r>
    </w:p>
    <w:p>
      <w:r>
        <w:t>Il convient finalement d'examiner si la mesure d'éloignement prise par l'autorité inférieure satisfait aux principes de la proportionnalité et de l'égalité de traitement. 8.1.1 A cet égard, il importe tout d'abord de relever que, selon les préci­sions apportées récemment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 8.1.2 Toute mesure d'éloignement doit respecter le principe de la propor­tionnalité, qui s'impose tant en droit interne (cf. art. 5 al. 2 Cst. et 96 LEtr) qu'au regard de la CEDH (cf. art. 8 par. 2 CEDH) et de l'ALCP (cf. no­tamment ATF 139 II 121 consid. 6.5.1; 130 II 176 consid. 3.4.2; 129 II 215 consid. 6.2, ainsi que les nombreuses références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135 II 377 consid. 4.3, et jurispru­dence citée). L'examen sous l'angle de l'art. 8 par. 2 CEDH se confond avec celui imposé par l'art. 96 LEtr (cf. notamment arrêts du TF 2C_53/2015 consid. 5.3; 2C_139/2014 consid. 5).</w:t>
      </w:r>
    </w:p>
    <w:p>
      <w:r>
        <w:rPr>
          <w:b/>
        </w:rPr>
        <w:t>E. 8.2.1</w:t>
      </w:r>
    </w:p>
    <w:p>
      <w:r>
        <w:t>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w:t>
      </w:r>
    </w:p>
    <w:p>
      <w:r>
        <w:rPr>
          <w:b/>
        </w:rPr>
        <w:t>E. 8.2.2</w:t>
      </w:r>
    </w:p>
    <w:p>
      <w:r>
        <w:t>S'agissant de la règle de la proportionnalité au sens étroit, il sied de procéder à une pesée des intérêts en présence, à savoir d'un côté l'inté­rêt privé de X._______ à pouvoir entrer librement sur le territoire suisse, et d'un autre côté, l'intérêt public à le tenir éloigné afin de protéger l'ordre et la sécurité publics. L'interdiction d'entrée en Suisse prise à l'endroit du recourant apparaît également justifiée sous l'angle du principe de la proportionnalité au sens étroit. S'agissant de l'intérêt public, il est à noter que l'interdiction d'entrée prononcée à l'endroit du prénommé est une mesure administrative de contrôle qui tend à le tenir éloigné de la Suisse où il a contrevenu aux prescriptions légales en commettant des infractions revêtant une gravité particulière (cf. pour le détail des infractions, cf. ci-dessus, consid. A, C, J et 5.1). Il en va de l'intérêt de l'Etat à voir respecter l'ordre établi et la législation en vigueur (cf. arrêt du Tribunal administratif fédéral C-4334/2014 du 19 mai 2015 consid. 7.2 et la référence citée). Après la lourde condamnation prononcée le 9 mars 2011 par le Tribunal d'arrondissement de Lausanne, le recourant, bénéficiant d'une libération conditionnelle, au lieu de s'amender, a continué à commettre des infractions sur le territoire suisse (cf. consid. J). Pour ces nouvelles infractions à la LCR, l'intéressé a été à nouveau condamné, le 27 mars 2014, par le Ministère public de l'arrondissement de Lausanne à une peine pécuniaire de 80 jours-amende (à 20 francs le jour-amende) et une amende de 320 francs. Au vu des nombreuses infractions constatées et de l'attitude du recourant qui, même lorsqu'il suivait un traitement psychothérapeutique ambulatoire ordonné le 24 mars 2009, avait commis de nouveaux actes de violence (cf. arrêt du Tribunal cantonal vaudois du 15 mai 2013, p. 13 et arrêt du Tribunal fédéral du 6 décembre 2013, consid. 3.6) et avait encore commis des infractions alors qu'il était sous libération conditionnelle (cf. consid. E et J), l'intérêt public à éloigner durablement l'intéressé de Suisse est manifeste. S'agissant de l'intérêt privé de l'intéressé à pouvoir revenir librement en Suisse, il y a lieu de prendre en considération la présence dans le canton de Vaud de son amie, de son enfant, fruit de sa relation avec cette dernière, et de membres de sa famille, dont notamment sa mère, malade. Toutefois, ainsi que le TC-VD l'a souligné (cf. arrêt du 15 mai 213, p. 14), l'état de santé de la mère du recourant n'est pas décisif dans la mesure où cette dernière pourrait également bénéficier du soutien de ses proche établis en Suisse. Quant au fait d'avoir une fille et une compagne séjournant légalement en Suisse, ces éléments ne sauraient, dans les conditions du cas d'espèce, être considérés comme prépondérants par rapport à l'intérêt public à l'éloignement de X._______ du territoire helvétique, ce d'autant moins que ce dernier peut toujours solliciter l'octroi de sauf-conduits afin de rendre visite à ses proches. Au demeurant, il reste encore une solution alternative au prénommé pour continuer de vivre auprès de sa fille et de sa compagne, à savoir que ces dernières aillent s'installer auprès de lui en France, pays dont elles sont ressortissantes.</w:t>
      </w:r>
    </w:p>
    <w:p>
      <w:r>
        <w:rPr>
          <w:b/>
        </w:rPr>
        <w:t>E. 8.3</w:t>
      </w:r>
    </w:p>
    <w:p>
      <w:r>
        <w:t>En conséquence, après une pondération des intérêts publics et pri­vés en présence et au regard de l'ensemble des circonstances, en particulier de la gravité des faits reprochés au recourant (qui ont été sanctionnés par des peines privatives de liberté qui, additionnés entre elle, dépassent la durée de quatre ans) et de l'importance du risque de récidive que laisse redouter son lourd passé judiciaire, le Tribunal estime que la durée de l'interdiction d'entrée prononcée le 1er mai 2015 à son endroit (qui est vala­ble jusqu'au 30 avril 2022, soit 7 ans) ne saurait en aucun cas être réduite. Le Tribunal constate encore que c'est à juste titre que le SEM a limité la portée de cette mesure d'éloignement au seul territoire suisse, puisque le recourant est un ressortissant communautaire.</w:t>
      </w:r>
    </w:p>
    <w:p>
      <w:r>
        <w:rPr>
          <w:b/>
        </w:rPr>
        <w:t>E. 9</w:t>
      </w:r>
    </w:p>
    <w:p>
      <w:r>
        <w:t>Il sied encore de relever que, dans le cas d'espèce, c'est à bon droit que le SEM n'a pas fait application de l'at. 67 al. 5 LEtr, dans la mesure où il ne ressort pas du dossier que des raisons humanitaires ou d'autres motifs importants puissent justifier le renoncement au prononcé d'une mesure d'éloignement ou la suspension de cette mesure, ce d'autant moins au vu de la nature, de la fréquence et de la gravité des infractions commises par le recourant.</w:t>
      </w:r>
    </w:p>
    <w:p>
      <w:r>
        <w:rPr>
          <w:b/>
        </w:rPr>
        <w:t>E. 10</w:t>
      </w:r>
    </w:p>
    <w:p>
      <w:r>
        <w:t>En conséquence, le Tribunal est amené à conclure que la décision querellée est conforme au droit (cf. art. 49 PA). Partant, le recours doit être rejeté. 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