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C-363/2006 vom 10. April 2008</w:t>
      </w:r>
    </w:p>
    <w:p>
      <w:r>
        <w:t>Bundesverwaltungsgericht, 2008-04-10, FR</w:t>
      </w:r>
    </w:p>
    <w:p>
      <w:r>
        <w:rPr>
          <w:b/>
        </w:rPr>
        <w:t xml:space="preserve">Quelle: </w:t>
      </w:r>
      <w:r>
        <w:t>https://mcp.opencaselaw.ch/entscheid/bvger_C-363_2006</w:t>
      </w:r>
    </w:p>
    <w:p>
      <w:r>
        <w:t>FR: TAF C-363/2006 du 10 avril 2008</w:t>
      </w:r>
    </w:p>
    <w:p>
      <w:r>
        <w:t>IT: TAF C-363/2006 del 10 aprile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aOLE), prononcées par l'ODM - lequel constitue une unité de l'administration fédérale telle que définie à l'art. 33 let. d LTAF - sont susceptibles de recours au TAF,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2</w:t>
      </w:r>
    </w:p>
    <w:p>
      <w:r>
        <w:t>A._______, qui est directement touché par la décision entreprise, a qualité pour recourir (cf. art. 48 PA). Son recours, présenté dans la forme et les délais prescrits par la loi, est recevable (cf. art. 50 et art. 52 PA).</w:t>
      </w:r>
    </w:p>
    <w:p>
      <w:r>
        <w:rPr>
          <w:b/>
        </w:rPr>
        <w:t>E. 3</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l'état de fait et de droit régnant au moment où il statue (ATF 129 II 215 consid. 1.2, publication partielle de l'arrêt du Tribunal fédéral 2A.451/2002 du 28 mars 2003), sous réserve du considérant 1.2 ci-dessus. Par ailleurs, le Tribunal administratif fédéral n'est en aucun cas lié par les motifs invoqués à l'appui du recours (art. 62 al. 4 PA). Il peut s'écarter des considérants juridiques de la décision attaquée aussi bien que des arguments des parties.</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(art. 1 aOLE).</w:t>
      </w:r>
    </w:p>
    <w:p>
      <w:r>
        <w:rPr>
          <w:b/>
        </w:rPr>
        <w:t>E. 4.2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aOLE).</w:t>
      </w:r>
    </w:p>
    <w:p>
      <w:r>
        <w:rPr>
          <w:b/>
        </w:rPr>
        <w:t>E. 5</w:t>
      </w:r>
    </w:p>
    <w:p>
      <w:r>
        <w:t>A ce propos, il sied de relever que l'autorité fédérale n'est pas liée par l'appréciation émise par le canton de Genève dans sa proposition du 9 mai 2006 s'agissant de l'exemption du recourant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aOLE,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6.1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6.2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6.3</w:t>
      </w:r>
    </w:p>
    <w:p>
      <w:r>
        <w:t>En référence à la jurisprudence du Tribunal fédéral, le Tribunal administratif fédéral à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(ATF 130 II 39 consid. 3).</w:t>
      </w:r>
    </w:p>
    <w:p>
      <w:r>
        <w:rPr>
          <w:b/>
        </w:rPr>
        <w:t>E. 7.1</w:t>
      </w:r>
    </w:p>
    <w:p>
      <w:r>
        <w:t>En l'espèce, il ressort des déclarations du recourant qu'il séjourne en Suisse depuis le 31 décembre 1991, alors que les pièces versées au dossier confirment sa présence en Suisse depuis 1994. A._______ comptabilise ainsi, quoi qu'il en soit, plus de dix ans de séjour en Suisse à l'insu des autorités de ce pays, la question de savoir s'il réside en Suisse déjà depuis la fin de l'année 1991 ou seulement depuis 1994 n'étant pas décisive pour l'issue du présent litige. En outre, depuis le dépôt de la demande de régularisation de ses conditions de séjour le 23 janvier 2006 il réside en Suisse au bénéfice d'une simple tolérance cantonale. Or, un tel séjour, de par son caractère provisoire et aléatoire, ne saurait être considéré comme un élément constitutif d'un cas personnel d'extrême gravité (ATAF 2007/16 consid. 7,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(arrêt du Tribunal fédéral 2A.565/2005 du 23 décembre 2005). Dans ces circonstances, l'intéressé ne saurait tirer parti de la simple durée de son séjour en Suisse pour bénéficier d'une exception aux mesures de limitation. Le recourant se trouve en effet, de ce point de vue, dans une situation comparable à celle de nombreux étrangers qui sont appelés à quitter la Suisse au terme d'un séjour autorisé ou non et qui, ne bénéficiant d'aucun traitement particulier, demeurent soumis aux mesures de limitation. Cela étant, il convient d'examiner les critères d'évaluation qui, autres que la seule durée du séjour en Suisse, pourraient justifier une exception aux mesures de limitation au sens de l'art. 13 let. f aOLE.</w:t>
      </w:r>
    </w:p>
    <w:p>
      <w:r>
        <w:rPr>
          <w:b/>
        </w:rPr>
        <w:t>E. 7.2</w:t>
      </w:r>
    </w:p>
    <w:p>
      <w:r>
        <w:t>Comme exposé ci-avant (consid. 6.2),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En effet, faut-il encore que le refus de soustraire l'intéressé aux restrictions des nombres maximums comporte pour lui de graves conséquences. Autrement dit, il est nécessaire que ses conditions de vie et d'existence, comparées à celles applicables à la moyenne des étrangers, soient mises en cause de manière accrue. In casu, force est de constater que, comparée à la situation de la moyenne des étrangers qui ont passé autant d'années en Suisse, l'intégration socio professionnelle du recourant ne revêt aucun caractère exceptionnel. En effet, bien que le Tribunal administratif fédéral ne remette nullement en cause les efforts d'intégration qu'il a accomplis, ni les contacts qu'il a pu établir avec la population locale, il ne saurait pour autant considérer que celui-ci se soit créé avec ce pays des attaches professionnelles ou sociales à ce point profondes et durables qu'il ne puisse plus raisonnablement envisager un retour dans son pays d'origine. S'agissant des relations de travail, d'amitié ou de voisinage qu'il a nouées durant son séjour sur le territoire helvétique, elles ne sauraient non plus justifier une exception aux mesures de limitation du nombre des étrangers. Au demeurant, les pièces du dossier révèlent que depuis son arrivée en Suisse, le recourant a certes, par son travail, assuré son indépendance financière. Force est toutefois de constater qu'au regard de la nature de l'emploi (dans le domaine du jardinage) que A._______ a exercé en Suisse, celui-ci n'a pas acquis de connaissances ou de qualifications spécifiques telles qu'il ne pourrait plus les mettre en pratique dans son pays d'origine et qu'il faille considérer qu'il a fait preuve d'une évolution professionnelle remarquable en Suisse justifiant, à elle seule, l'admission d'un cas de rigueur au sens de l'art. 13 let. f aOLE (cf. arrêt du Tribunal fédéral 2A.586/2006 du 6 décembre 2006 consid. 2.2 et les arrêts du Tribunal fédéral non publiés du 12 août 1996 en la cause J. c/ DFJP, du 23 janvier 1998 dans la cause A. c/ DFJP et du 2 février 1999 dans la cause P. SA et B. c/ DFJP). De plus, le Tribunal de céans relève que le comportement en Suisse de A._______ n'est pas exempt de tout reproche. En effet, lors de son séjour en Suisse jusqu'au dépôt de la demande de régularisation de ses conditions de séjour, le prénommé a séjourné et travaillé dans ce pays de manière totalement illégale. Même s'il ne faut pas exagérer l'importance des infractions aux prescriptions de police des étrangers inhérentes à la condition de clandestin, il n'est néanmoins pas contradictoire de tenir compte de l'existence de telles infractions (ATF 130 précité consid. 5.2). En effet, ainsi qu'il a été précisé ci-dessus, l'attitude que le recourant a adoptée pendant le séjour clandestin dans ce pays contribue au marché condamnable du travail illégal. Par ailleurs, il convient de rappeler ici que le recourant a passé les 35 premières années de sa vie au Kosovo. Il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Dans ces conditions, le Tribunal administratif fédéral ne saurait considérer que son séjour sur le territoire suisse, d'une durée certes importante, l'ait rendu totalement étranger à sa patrie, dans laquelle séjournent plusieurs membres de sa proche famille, dont son épouse et ses quatre enfants, avec lesquels il a gardé des contacts réguliers, selon les informations qu'il a fournies lors de son audition du 8 mars 2006 à l'OCP).</w:t>
      </w:r>
    </w:p>
    <w:p>
      <w:r>
        <w:rPr>
          <w:b/>
        </w:rPr>
        <w:t>E. 7.3</w:t>
      </w:r>
    </w:p>
    <w:p>
      <w:r>
        <w:t>Le Tribunal n'ignore pas que le retour du recourant dans son pays d'origine après de nombreuses années passées en Suisse ne sera pas exempt de difficultés. Rien ne permet toutefois d'affirmer que ces difficultés seraient plus graves pour lui que pour n'importe lequel de ses concitoyens appelé à quitter la Suisse au terme de son séjour dans ce pays.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w:t>
      </w:r>
    </w:p>
    <w:p>
      <w:r>
        <w:rPr>
          <w:b/>
        </w:rPr>
        <w:t>E. 8</w:t>
      </w:r>
    </w:p>
    <w:p>
      <w:r>
        <w:t>Dans ces conditions, après une appréciation de l'ensemble des circonstances, le Tribunal, à l'instar de l'autorité de première instance, arrive à la conclusion que la situation du recourant n'est pas constitutive d'un cas personnel d'extrême gravité au sens de l'art. 13 let. f aOLE. Il ressort de ce qui précède que, par sa décision du 20 juin 2006,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du recourant (cf. art. 63 al. 1 PA et art. 1 à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