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C-3639/2014 vom 17. November 2014</w:t>
      </w:r>
    </w:p>
    <w:p>
      <w:r>
        <w:t>Bundesverwaltungsgericht, 2014-11-17, DE</w:t>
      </w:r>
    </w:p>
    <w:p>
      <w:r>
        <w:rPr>
          <w:b/>
        </w:rPr>
        <w:t xml:space="preserve">Quelle: </w:t>
      </w:r>
      <w:r>
        <w:t>https://mcp.opencaselaw.ch/entscheid/bvger_C-3639_2014</w:t>
      </w:r>
    </w:p>
    <w:p>
      <w:r>
        <w:t>FR: TAF C-3639/2014 du 17 novembre 2014</w:t>
      </w:r>
    </w:p>
    <w:p>
      <w:r>
        <w:t>IT: TAF C-3639/2014 del 17 novembre 2014</w:t>
      </w:r>
    </w:p>
    <w:p>
      <w:pPr>
        <w:pStyle w:val="Heading2"/>
      </w:pPr>
      <w:r>
        <w:t>Regeste</w:t>
      </w:r>
    </w:p>
    <w:p>
      <w:r>
        <w:t>Schengen-Visum</w:t>
      </w:r>
    </w:p>
    <w:p>
      <w:pPr>
        <w:pStyle w:val="Heading2"/>
      </w:pPr>
      <w:r>
        <w:t>Erwägungen</w:t>
      </w:r>
    </w:p>
    <w:p>
      <w:r>
        <w:rPr>
          <w:b/>
        </w:rPr>
        <w:t>E. 1.1</w:t>
      </w:r>
    </w:p>
    <w:p>
      <w:r>
        <w:t>Gemäss Art. 31 VGG beurteilt das Bundesverwaltungsgericht Beschwerden gegen Verfügungen im Sinne von Art. 5 des VwVG, sofern keine Ausnahme nach Art. 32 VGG vorliegt. Als Vorinstanzen gelten die in Art. 33 VGG genannten Behörden. Dazu gehört das BFM, das mit der Abweisung der Einsprache betreffend Verweigerung eines Schengen-Visums eine Verfügung im erwähnten Sinne und daher ein zulässiges Anfechtungsobjekt erlassen hat. Eine Ausnahme nach Art. 32 VGG liegt nicht vor.</w:t>
      </w:r>
    </w:p>
    <w:p>
      <w:r>
        <w:rPr>
          <w:b/>
        </w:rPr>
        <w:t>E. 1.2</w:t>
      </w:r>
    </w:p>
    <w:p>
      <w:r>
        <w:t>Das Rechtsmittelverfahren richtet sich nach dem VwVG, soweit das VGG nichts anderes bestimmt (vgl. Art. 37 VGG).</w:t>
      </w:r>
    </w:p>
    <w:p>
      <w:r>
        <w:rPr>
          <w:b/>
        </w:rPr>
        <w:t>E. 1.3</w:t>
      </w:r>
    </w:p>
    <w:p>
      <w:r>
        <w:t>Der Beschwerdeführer ist gemäss Art. 48 Abs. 1 VwVG zur Beschwerde berechtigt. Auf die im Übrigen frist- und formgerecht eingereichte Beschwerde ist einzutreten (vgl. Art. 50 und 52 VwVG).</w:t>
      </w:r>
    </w:p>
    <w:p>
      <w:r>
        <w:rPr>
          <w:b/>
        </w:rPr>
        <w:t>E. 1.4</w:t>
      </w:r>
    </w:p>
    <w:p>
      <w:r>
        <w:t>Das Bundesverwaltungsgericht entscheidet in der vorliegenden Angelegenheit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w:t>
      </w:r>
    </w:p>
    <w:p>
      <w:r>
        <w:t>Der angefochtenen Verfügung liegt das Gesuch einer sri-lankischen Staatsangehörigen um Erteilung eines Visums für einen dreimonatigen Aufenthalt in der Schweiz zugrunde. Da sich der Beschwerdeführer bzw. seine Ehefrau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Egli/Meyer, in: Caroni/Gächter/Thurnherr, Stämpflis Handkommentar zum Bundesgesetz über die Ausländerinnen und Ausländer,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4.6</w:t>
      </w:r>
    </w:p>
    <w:p>
      <w:r>
        <w:t>Aufgrund ihrer sri-lankischen Staatsangehörigkeit unterliegt die Gesuchstellerin der Visumspflicht (vgl. Anhang I zur Verordnung [EG] Nr. 539/2001 [ABl. L 81 vom 21.03.2001 S. 1 7; zum vollständigen Quellennachweis vgl. Fussnote zu Art. 4 Abs. 1 VEV]). Bei der Prüfung der Einreisevoraussetzungen nach Art. 5 Abs. 1 SGK stehen die Fragen nach dem Zweck des geplanten Aufenthalts und der gesicherten Wiederausreise im Vordergrund. Dabei sind sämtliche Umstände des Einzelfalles zu würdigen. 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nicht mit dem Ziel und Zweck einer zeitlich befristeten Einreisebewilligung in Einklang steht. 5.5.1 Insgesamt hat sich die Situation in Sri Lanka in den letzten Jahren verbessert. Zur positiven wirtschaftlichen Entwicklung hat insbesondere die Region um die Hauptstadt Colombo beigetragen, wo die Hälfte der gesamten Wirtschaftsleistung erbracht wird. Hingegen ist die wirtschaftliche Lage im Norden des Landes, wo die Gesuchstellerin lebt (im Distrikt Vavuniya der Nordprovinz), nach wie vor schwierig. Die Arbeitslosigkeit ist deutlich höher als im Landesdurchschnitt (30 % gegenüber 4 %). Der Zugang zu Land und Häusern und damit zur Landwirtschaft als wichtiger Einnahmequelle ist nur eingeschränkt möglich, da Land und Häuser von Sicherheitskräften beansprucht werden oder zur Sperrzonen erklärt wurden (vgl. Schweizerische Flüchtlingshilfe [SFH], Sri Lanka: Aktuelle Situation, 15.11.2012, S. 17 f., &lt; http://www.fluechtlingshilfe.ch &gt; Herkunftsländer &gt; Asien-Pazifik &gt; Sri Lanka, abgerufen am 24. Oktober 2014; &lt; http://www.auswaertiges-amt.de &gt; Reise &amp; Sicherheit Reise- und Sicherheitshinweise: Länder A Z &gt; Sri Lanka &gt; Wirtschaft, Stand: März 2014, abgerufen am 24. Oktober 2014). Die Menschenrechtslage wird nach wie vor als sehr prekär eingeschätzt, nicht zuletzt auch wegen der Unterdrückung der politischen Opposition und der tamilischen Minderheit durch die Regierung (vgl. Civil Liberties www.freedomhouse.org Research and Reports Freedom in the World Thailand, abgerufen am 24. Oktober 2014; UNHCR, The UN Refugee Agency, 2013 Country Reports on Human Rights Practices - Sri Lanka, 27.02.2014, http://www.refworld.org/docid/53284a6b8.html , abgerufen am 24. Oktober 2012. 5.2 Angesichts der geschilderten Umstände ist nicht zu beanstanden, dass die Vorinstanz das Risiko einer nicht fristgerechten Wiederausreise allgemein als hoch einschätzte und den behaupteten Aufenthaltszweck in Frage stellte. Aufgrund der restriktiven Zulassungsregelung werden in solchen Situationen nicht selten ausländerrechtliche Bestimmungen umgangen, indem versucht wird, den Aufenthalt - einmal eingereist - auf eine andere rechtliche oder faktische Basis zu stellen und sich so der Pflicht zur Wiederausreise zu ent­ziehen. Bei der Risikoanalyse sind aber nicht nur diese Umstände und Erfahrungen, sondern alle Gesichts­punkte des Einzelfalles zu berücksichtigen. 5.2.1 Bei der Gesuchstellerin handelt es sich um die 51-jährige Ehefrau des Beschwerdeführers (Eheschliessung 1983). Sie wohnt zusammen mit ihren vier gemeinsamen, erwachsenen Töchtern in Vavuniya in ihrem eigenen Haus und besitzt zwei Grundstücke. Gemäss Angaben des Beschwerdeführers verfügt sie zudem über ein grosses Kapital (Geld), hat viele Verpflichtungen (mit der Steuerbehörde, Liegenschaften, Bankverbindungen) und hütet ihre Enkelkinder und weitere Kinder. 5.2.2 Die Vorinstanz ging in der Begründung des angefochtenen Einspracheenscheides davon aus, dass die Gesuchstellerin in Sri Lanka keine familiären oder sozialen Verpflichtungen habe. Es bestehe kein besonderer Betreuungsbedarf, der lediglich durch die Gesuchstellerin abgedeckt werde. Ihren Lebensunterhalt finanziere sie unter anderem aus den Einkommen von Liegenschaften (Mietzins und Landwirtschaft). Zudem habe die Migrationsbehörde des Kantons Aarau im Jahr 2010 ein Familiennachzugsgesuch des Beschwerdeführers abgewiesen. Ihre finanzielle Situation möge für sri-lankische Verhältnisse gut sein, jedoch keinesfalls überdurchschnittlich. Diese Umstände sind nach Auffassung der Vorinstanz nicht geeignet, die Gesuchstellerin nachhaltig von einer Emigration abzuhalten. 5.2.3 Die Beurteilung der Vorinstanz ist im Ergebnis nicht zu beanstanden. Die Gesuchstellerin lebt zusammen mit ihren Töchtern im selben Haus. Diese sind jedoch erwachsen und haben ihrerseits Kinder. Die Betreuung der Enkelkinder und weiterer Kinder kann nicht derart intensiv sein, wenn die Gesuchstellerin drei Monate abkömmlich ist. Es sind daher keine sozialen oder familiären Verpflichtungen ersichtlich, welche die Gesuchstellerin nachhaltig von einer Emigration abzuhalten vermöchten. Zudem hat der Beschwerdeführer vor sechs Jahren ein Familiennachzugsgesuch für seine Ehefrau und alle Kinder gestellt, welches abgewiesen wurde. Es bestand somit damals der Wunsch auf eine Familienzusammenführung. Es kann deshalb davon ausgegangen werden, dass die Eheleute - in Anbetracht der im August 2009 noch geltend gemachten Nachstellungen gegen die Familie - nach wie vor diesen Wunsch hegen, auch wenn sie dies bestreiten. Diese Annahme wird durch die Aussage des Beschwerdeführers verstärkt, dass er gerne mit seiner Ehefrau zusammen mit seinem Hausarzt über seine gesundheitlichen Probleme (Diabetes mellitus [Zuckerkrankheit]) sprechen würde. Insgesamt ist die persönliche Situation der Gesuchstellerin nicht geeignet, die aufgrund der allgemeinen Lage in Sri Lanka negative Prognose zu ihren Gunsten zu beeinflussen. 5.2.4 Der Bestätigung der "Hatton National Bank" vom 28. März 2014 kann entnommen werden, dass die Gesuchstellerin weder Schulden noch jemals das Konto überzogen hat und ihr Konto zu jenem Zeitpunkt einen Saldo von Rs 201'727.32 (Fr. 1'467.80) aufwies. Mangels anderer Angaben wird vermutungsweise davon ausgegangen, dass es sich um srilankische Rupien handelt. Gemäss einem Beleg vom 14. März 2014 werden die Grundstücke Nr. 5055 und Nr. 13300 der Gesuchstellerin auf je Rs 3 Mio. geschätzt. Auf dem Grundstück Nr. 5055 befindet sich ihr Haus, welches auf Rs 14 Mio. geschätzt wir. Laut dieser Schätzung verfügt die Gesuchstellerin über ein Vermögen von Rs 20 Mio. (Fr. 145'516.20). Wie die Grundstücke der Gesuchstellerin zu ihrem Lebensunterhalt beitragen, geht aus den Akten jedoch nicht hervor. Zudem gab die Gesuchstellerin auf einem Fragebogen "Questionnaire for a Schengen Visitor Visa" bei der Schweizer Botschaft bei der Frage "monatliches Einkommen" zur Antwort: "Rs 50'000.- (Fr. 363.80)/vom Ehemann unterstützt". Deshalb kann die finanzielle Situation der Gesuchstellerin nicht als so komfortabel und sicher angesehen werden, dass eine Emi­gration zu ihrem in der Schweiz lebenden Ehemann ausgeschlossen erscheint. Für die Betreuung ihrer Liegenschaften und Bankkonten sowie die Bezahlung von Steuern muss die Gesuchstellerin nicht vor Ort sein und kann sich gegebenenfalls durch ihre vier Töchter vertreten lassen. 5.2.5 Vor dem aufgezeigten Hintergrund durfte die Vorinstanz davon ausgehen, es beständen begründete Zweifel am Aufenthaltszweck der Gesuchstellerin bzw. es bestehe nicht genügend Gewähr für eine anstandslose und fristgerechte Wiederausreise. Entsprechend ergab sich auch kein Raum für die Erteilung eines einheitlichen Schengen-Visums. An dieser Beurteilung vermögen auch die Zusicherungen des Beschwerdeführers sowie die anlässlich des Ausfüllens des Auskunftsbogens abgegebene Erklärung, er garantiere die Wiederausreise der Gesuchstellerin (vgl. Auskunftsbogen der kantonalen Behörde vom 12. Juni 2014) nichts zu ändern. Als Gastgeber kann er zwar für gewisse finanzielle Risiken im Zusammenhang mit dem Besuchsaufenthalt, aus nahe liegenden Gründen aber nicht für ein bestimmtes Verhalten der Gesuchstellerin garantieren. Denn bei der Abwägung des Risikos einer nicht fristgerechten Wiederausreise ist naturgemäss nicht so sehr die Haltung des Gastgebers, sondern in erster Linie das mögliche Verhalten der Gesuchstellerin selbst von Bedeutung. Nur Letztere ist in der Lage, hinreichend Gewähr für ihre Rückkehrbereitschaft zu bieten (BVGE 2009/27 E. 9). 6.Bleibt zu prüfen, ob die Voraussetzungen für die Ausstellung eines Visums mit räumlich beschränkter Gültigkeit vorliegen (vgl. E. 4.5). Ein solches kann - wie erwähnt - erteilt werden, wenn ein Mitgliedstaat es aus humanitären Gründen, aus Gründen des nationalen Interesses oder aufgrund internationaler Verpflichtungen für erforderlich hält. Die damit einhergehende Abweichung von den allgemeinen Einreisevoraussetzungen erfordert eine sorgfältige Abwägung der sich gegenüberstehenden Interessen, die nicht leichthin zur Erteilung eines auf nationales Hoheitsgebiet beschränkten Visums führen darf (vgl. BVGE 2011/48 E. 6.1). 6.1 Zwar stellt der persönliche Kontakt zwischen dem Beschwerdeführer und seiner Ehefrau eine grundsätzlich unter den Schutz von Art. 8 EMRK sowie Art. 13 Abs. 1 BV fallende familiäre Beziehung dar, da es sich um die sog. "Kernfamilie" handelt. Das vermag jedoch zu keinem anderen Resultat führen. Denn nur Beeinträchtigun­gen des Familienlebens von gewisser Mindestschwere stellen rechtfertigungsbedürftige Eingriffe in die genannten Garantien dar. Ob diese Mindestschwere im vorliegenden Fall erreicht wird, erscheint unter den gegebenen Umständen als fraglich. Dem Beschwerdeführer wäre auch eine Reise in den Heimat- oder einen Drittstaat zuzumuten. 6.2 Die geltend gemachten privaten Interessen rechtfertigen somit auch nicht, ein Visum mit räumlich beschränkter Gültigkeit auszustellen. 7.Aus diesen Erwägungen ergibt sich, dass die angefochtene Verfügung Bundesrecht nicht verletzt und den rechtserheblichen Sachverhalt richtig und vollständig feststellt; sie ist auch angemessen (vgl. Art. 49 VwVG). Die Beschwerde ist daher abzuweisen. 8.Dem Ausgang des Verfahrens entsprechend wird der unterliegende Beschwerdeführer kostenpflichtig (Art. 63 Abs. 1 VwVG). Die Verfahrenskosten sind auf Fr. 800.- festzusetzen (vgl.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