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C-3636/2014 vom 3. Oktober 2016</w:t>
      </w:r>
    </w:p>
    <w:p>
      <w:r>
        <w:t>Bundesverwaltungsgericht, 2016-10-03, FR</w:t>
      </w:r>
    </w:p>
    <w:p>
      <w:r>
        <w:rPr>
          <w:b/>
        </w:rPr>
        <w:t xml:space="preserve">Quelle: </w:t>
      </w:r>
      <w:r>
        <w:t>https://mcp.opencaselaw.ch/entscheid/bvger_C-3636_2014</w:t>
      </w:r>
    </w:p>
    <w:p>
      <w:r>
        <w:t>FR: TAF C-3636/2014 du 3 octobre 2016</w:t>
      </w:r>
    </w:p>
    <w:p>
      <w:r>
        <w:t>IT: TAF C-3636/2014 del 3 ottobre 2016</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l'occurrence, interjeté en temps utile (art. 50 LPGA), dans les formes légales (art. 52 ss LPGA) auprès de l'autorité judiciaire compétente (art. 33 let. d LTAF et art. 69 al. 1 let. b LAI), par une administrée directement touchée par la décision attaquée (art. 48 LPGA), qui s'est acquittée de l'avance de frais dans les temps (art. 63 al. 4 PA et art. 20 ss PA), le recours du 30 juin 2014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 De jurisprudence constante l'octroi d'une rente étrangère d'invalidité ne préjuge pas l'appréciation de l'invalidité selon la loi suisse (arrêt du Tribunal fédéral I°435/02 du 4 février 2003, consid. 2;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2.3</w:t>
      </w:r>
    </w:p>
    <w:p>
      <w:r>
        <w:t>En l'occurrence, l'intéressée est une ressortissante portugaise résidant en Portugal, soit dans un Etat membre de l'Union européenne (AI pce 5, p. 1). Ainsi, les dispositions légales de droit suisse en vigueur dans leur teneur au jour de la décision attaquée, soit au 2 juin 2014, sont applicables. Par ailleurs, le Tribunal administratif fédéral se fondera sur l'état de fait, y compris l'état de santé de l'intéressée, au jour de la décision, soit au 2 juin 2014. Les éléments de fait postérieurs à cette date ne devant, en principe, pas être pris en considération sauf s'ils permettent une meilleure compréhension de l'état de santé de la recourante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2 juin 2014 par laquelle l'OAIE a refusé d'entrer en matière sur la seconde demande de prestations de l'assurance-invalidité déposée par la recourante.</w:t>
      </w:r>
    </w:p>
    <w:p>
      <w:r>
        <w:rPr>
          <w:b/>
        </w:rPr>
        <w:t>E. 4.1</w:t>
      </w:r>
    </w:p>
    <w:p>
      <w:r>
        <w:t>La décision dont est recours fait suite à une première demande de rente ayant été rejetée par décision du 15 septembre 2011 au motif que l'incapacité de travail avait duré moins d'une année (AI pce 42). Cette décision, qui n'a pas fait l'objet d'un recours, est entrée en force de chose décidée.</w:t>
      </w:r>
    </w:p>
    <w:p>
      <w:r>
        <w:rPr>
          <w:b/>
        </w:rPr>
        <w:t>E. 4.2</w:t>
      </w:r>
    </w:p>
    <w:p>
      <w:r>
        <w:t>En application des art. 17 LPGA et 87 al. 2 et 3 du règlement du 17 janvier 1961 sur l'assurance-invalidité (RAI, RS 831.201 ; ATF 133 V 108, consid. 5, ATF 130 V 71, consid. 3.2 ; arrêt du Tribunal fédéral 9C_754/2015 du 18 août 2016, consid. 2 et les références citées),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Toutefois, le demandeur ne doit pas apporter une preuve complète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2011, p. 841, N 3100 ; arrêts du Tribunal fédéral I 619/04 du 10 février 2005, consid. 3.1, 9C_68/2007 du 19 octobre 2007, consid. 4.4.1).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effectué lorsque l'administration est entrée en matière sur la nouvelle demande (ATF 109 V 114 consid. 2b;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l'occurrence, l'OAIE n'étant pas entré en matière sur la seconde demande de prestations de l'assurance-invalidité, il y a lieu d'examiner la question de savoir si c'est à juste titre que l'administration a rendu une décision de refus d'entrer en matière.</w:t>
      </w:r>
    </w:p>
    <w:p>
      <w:r>
        <w:rPr>
          <w:b/>
        </w:rPr>
        <w:t>E. 5.1</w:t>
      </w:r>
    </w:p>
    <w:p>
      <w:r>
        <w:t>En l'espèce, il y a lieu de constater que, entre la décision du 15 septembre 2011 et celle du 2 juin 2014, un peu plus de 2 ans se sont écoulés.</w:t>
      </w:r>
    </w:p>
    <w:p>
      <w:r>
        <w:rPr>
          <w:b/>
        </w:rPr>
        <w:t>E. 5.2</w:t>
      </w:r>
    </w:p>
    <w:p>
      <w:r>
        <w:t>Dans sa décision, entrée en force de chose décidée, du 15 septembre 2011, l'OAIE a expliqué qu'il n'existe pas d'incapacité de travail moyenne suffisante, pendant une année, pour reconnaître à la recourante un droit aux prestations. L'OAIE a encore ajouté que malgré l'atteinte à la santé, l'accomplissement des travaux habituels est toujours exigible dans une mesure suffisante pour exclure le droit à une rente (AI pce 37). Cette décision a essentiellement été prise sur la base des documents médicaux recueillis par l'OAIE et retenant que la recourante souffre d'un status post hystérectomie radicale avec lymphadénectomie bilatérale et d'une endométriose consécutive au traitement d'un cancer du col de l'utérus opéré en février 2010 (AI pces 27, 33 et 36).</w:t>
      </w:r>
    </w:p>
    <w:p>
      <w:r>
        <w:rPr>
          <w:b/>
        </w:rPr>
        <w:t>E. 5.3</w:t>
      </w:r>
    </w:p>
    <w:p>
      <w:r>
        <w:t>La documentation médicale annexée à la seconde demande de prestations de l'assurance-invalidité déposée par le recourante le 25 juin 2013 mentionne un status post hystérectomie totale, une radiothérapie et chimiothérapie, sans récidive tumorale ou métastase décelée consécutives au cancer du col de l'utérus diagnostiqué. Par ailleurs, cette documentation retient également un diabète non insulino-traité, une hypertension artérielle, une dyslipidémie, des selles défaites et une fonction cardiaque préservée (AI pces 63, 64 et 67). La nouvelle documentation médicale ne permet toutefois pas de rendre plausible une modification de l'invalidité susceptible d'impacter les droits de la recourante. En effet, la nouvelle documentation médicale fait état en substance des mêmes troubles liés au cancer du col de l'utérus que ceux retenus dans le cadre de la première demande de prestations de l'assurance-invalidité. La recourante ne démontre ainsi absolument pas en quoi et comment ces troubles auraient empirés en l'espace de 2 années au point d'avoir un impact sur l'incapacité de travail. Par ailleurs, les autres troubles constatés (à savoir un diabète non insulino-traité, une hypertension artérielle, uns dyslipidémie, des selles défaites et une fonction cardiaque préservée), ne sont pas de nature à rendre vraisemblable une aggravation de l'état de santé de la recourante telle qu'exigée par l'art. 87 RAI. D'ailleurs, la Dresse K._______ a indiqué que ces troubles n'impactent en aucun cas la capacité de travail de la recourante (AI pce 74). Par surabondance de motif, le Tribunal administratif fédéral précise encore, comme l'a d'ailleurs rappelé l'autorité inférieure (cf. AI pce 80 ; TAF pce 3), que l'octroi à la recourante d'une rente d'invalidité par les autorités portugaises ne lie en aucun cas les autorités de l'assurance-invalidité suisses (cf. consid. 2.2 supra).</w:t>
      </w:r>
    </w:p>
    <w:p>
      <w:r>
        <w:rPr>
          <w:b/>
        </w:rPr>
        <w:t>E. 5.4</w:t>
      </w:r>
    </w:p>
    <w:p>
      <w:r>
        <w:t>Dès lors, la non-entrée en matière de l'OAIE dans la nouvelle demande de prestations peut être confirmée en ce sens que la recourante n'a pas rendu plausible une aggravation de son état de santé par rapport à la décision de l'OAIE du 15 septembre 2011. Manifestement infondé le recours doit être rejeté dans une procédure à juge unique (art. 85bis al. 3 de la loi fédérale du 19 juin 1959 sur l'assurance-vieillesse survivants (LAVS, RS 831.10 applicable par renvoi de l'art. 69 al. 2 LAI).</w:t>
      </w:r>
    </w:p>
    <w:p>
      <w:r>
        <w:rPr>
          <w:b/>
        </w:rPr>
        <w:t>E. 6.1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al. 3 du règlement du 21 février 2008 concernant les frais, dépens et indemnités fixés par le Tribunal administratif fédéral (FITAF, RS 173.320.2), la partie qui succombe n'a pas droit aux dépens pour les frais nécessaires causés par le litige.</w:t>
      </w:r>
    </w:p>
    <w:p>
      <w:r>
        <w:rPr>
          <w:b/>
        </w:rPr>
        <w:t>E. 6.2</w:t>
      </w:r>
    </w:p>
    <w:p>
      <w:r>
        <w:t>En l'occurrence, vu l'issue de la procédure, les frais de celle-ci, arrêtés à Fr. 400.- sont mis à la charge de la recourante et compensés par l'avance de frais de même montant qui a été acquittée durant l'instruction (cf. TAF pces 4 à 7). Aucun dépens n'est alloué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