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C-3631/2014 vom 4. April 2016</w:t>
      </w:r>
    </w:p>
    <w:p>
      <w:r>
        <w:t>Bundesverwaltungsgericht, 2016-04-04, FR</w:t>
      </w:r>
    </w:p>
    <w:p>
      <w:r>
        <w:rPr>
          <w:b/>
        </w:rPr>
        <w:t xml:space="preserve">Quelle: </w:t>
      </w:r>
      <w:r>
        <w:t>https://mcp.opencaselaw.ch/entscheid/bvger_C-3631_2014</w:t>
      </w:r>
    </w:p>
    <w:p>
      <w:r>
        <w:t>FR: TAF C-3631/2014 du 4 avril 2016</w:t>
      </w:r>
    </w:p>
    <w:p>
      <w:r>
        <w:t>IT: TAF C-3631/2014 del 4 aprile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Dans le cadre de la présente procédure de recours, le recourant a requis que le Tribunal organise une audience et procède notamment à l'audition de son épouse ainsi que de lui-même. A ce propos, il importe de rappeler que la procédure de recours régie par la PA est en principe écrite et qu'il n'est procédé à l'audition de parties ou de témoins que si de telles mesures d'instruction paraissent indispensables à l'établissement des faits de la cause (cf. ATF 134 I 140 consid. 5.3, ATF 130 II 169 consid. 2.3.4 et l'arrêt du Tribunal fédéral 1C_323/2011 du 12 octobre 2011 consid. 2.2, voir également MOSER ET AL., op.cit., p. 183, n° 3.86). Or, dans le cas particulier, le Tribunal estime que les faits sont suffisamment établis par les pièces figurant au dossier, de sorte qu'il ne s'avère pas indispensable de donner suite aux requêtes du recourant, d'autant moins que le Tribunal lui a donné la possibilité de fournir une déposition écrite des personnes dont il a requis l'audition et que son épouse a par ailleurs eu l'occasion de prendre position, à l'attention du Tribunal de céans, lors de l'audience concernant les mesures protectrices de l'union conjugale du 3 novembre 2015.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7 janvier 2014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prolonger l'autorisation de séjour du recourant et peuvent parfaitement s'écarter de l'appréciation faite par cette autorité.</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5.2</w:t>
      </w:r>
    </w:p>
    <w:p>
      <w:r>
        <w:t>En l'espèce, à l'examen du dossier, il appert que les époux A._______ et B._______ ont contracté mariage, au Togo, le 29 septembre 2011, que le recourant est entré en Suisse le 1er mars 2012 et que les conjoints se sont séparés le 2 mai 2012. Par ailleurs, par communication du 16 février 2015, le recourant a informé le Tribunal que les époux avaient signé une convention sur les effets du divorce. Compte tenu du fait que la séparation des époux doit être considérée comme définitive et que leur vie commune a manifestement duré moins de cinq ans, le recourant ne saurait de toute évidence pas se prévaloir des dispositions de l'art. 42 al. 1 et 3 LEtr; il ne prétend d'ailleurs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il apparaît que les époux A._______ et B._______ ont fait ménage commun en Suisse dès le 1er mars 2012 et que leur communauté conjugale a pris fin le 2 mai 2012 (cf. l'audience de mesures protectrices de l'union conjugale du même jour). Compte tenu du fait que leur vie commune n'a duré que deux mois depuis le début de la communauté conjugale en Suisse jusqu'au prononcé des mesures protectrices de l'union conjugale du 2 mai 2012, l'union conjugale des époux A._______ et B._______ a manifestement duré moins de trois ans.</w:t>
      </w:r>
    </w:p>
    <w:p>
      <w:r>
        <w:rPr>
          <w:b/>
        </w:rPr>
        <w:t>E. 6.3</w:t>
      </w:r>
    </w:p>
    <w:p>
      <w:r>
        <w:t>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w:t>
      </w:r>
    </w:p>
    <w:p>
      <w:r>
        <w:rPr>
          <w:b/>
        </w:rPr>
        <w:t>E. 6.4</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6.4.1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6.4.2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notamment ATF 139 I 315 consid. 2.1 et les arrêts du Tribunal fédéral 2C_794/2014 du 23 janvier 2015 consid. 3.2 et 2C_87/2014 du 27 octobre 2014 consid. 4.3).</w:t>
      </w:r>
    </w:p>
    <w:p>
      <w:r>
        <w:rPr>
          <w:b/>
        </w:rPr>
        <w:t>E. 7.1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ATF 131 II 265 consid. 5 et ATF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ATF 139 I 315 consid. 2.2 et l'arrêt du Tribunal fédéral 2C_794/2014 consid. 3.2).</w:t>
      </w:r>
    </w:p>
    <w:p>
      <w:r>
        <w:rPr>
          <w:b/>
        </w:rPr>
        <w:t>E. 7.3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2C_794/2014 consid. 3.2 et la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et ATF 139 I 315 consid. 2.4 et 2.5, ainsi que l'arrêt du Tribunal fédéral 2C_794/2014 consid. 3.2).</w:t>
      </w:r>
    </w:p>
    <w:p>
      <w:r>
        <w:rPr>
          <w:b/>
        </w:rPr>
        <w:t>E. 7.4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7.5</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Tribunal fédéral 2C_723/2014 du 6 août 2015 consid. 2.3, 2C_165/2014 du 18 juillet 2014 consid. 4.3 et 2C_606/2013 du 4 avril 2014 consid. 5.3 et 6.2).</w:t>
      </w:r>
    </w:p>
    <w:p>
      <w:r>
        <w:rPr>
          <w:b/>
        </w:rPr>
        <w:t>E. 8</w:t>
      </w:r>
    </w:p>
    <w:p>
      <w:r>
        <w:t>En l'espèce, le recourant, qui est père d'un enfant de nationalité suisse et dispose par ailleurs de l'autorité parentale conjointe sur son enfant, peut en principe se prévaloir de la protection de la vie familiale consacrée à l'art. 8 CEDH. Il y a donc lieu d'examiner si les conditions jurisprudentielles posées au renouvellement de son autorisation de séjour en vertu de cette disposition conventionnelle sont réalisées dans le cas particulier.</w:t>
      </w:r>
    </w:p>
    <w:p>
      <w:r>
        <w:rPr>
          <w:b/>
        </w:rPr>
        <w:t>E. 8.1</w:t>
      </w:r>
    </w:p>
    <w:p>
      <w:r>
        <w:t>A ce propos, le Tribunal constate que le 2 mai 2012, le Président du Tribunal civil de l'arrondissement de Lausanne a autorisé les époux à vivre séparés, attribué la garde de C._______ à sa mère et réservé un droit de visite de deux weekends par mois au père, à l'intérieur des locaux du Point Rencontre. Le 28 janvier 2013, l'autorité compétente a par ailleurs astreint l'intéressé au paiement d'une contribution d'entretien d'un montant de Fr. 200.- par mois en faveur de son fils. Cette pension était temporairement plus élevée lorsque le recourant effectuait une mission temporaire qui lui procurait un salaire lui permettant de contribuer davantage à l'entretien de son enfant (cf. l'ordonnance de mesures protectrices de l'union conjugale du Tribunal civil de l'arrondissement de Lausanne du 4 février 2013). Le 19 mars 2013, la Cour d'appel civile a décidé, sur appel du recourant, que le droit de visite s'exercerait dorénavant dans le cadre de La Maison Ouverte, chaque semaine le mardi de 17.00 à 18.00 et les premier et troisième samedis de chaque mois de 16.00 à 18.00. En outre, lors de l'audience du 3 novembre 2015 devant la Présidente du Tribunal civil de l'arrondissement de Lausanne, les parties ont convenu d'élargir le cadre des relations personnelles de A._______ avec son enfant, en prévoyant que l'intéressé pouvait avoir C._______ auprès de lui tous les mardis de 17.00 à 18.00 et les premier et troisième samedis du mois de 12.30 à 17.00. Le prénommé s'est par ailleurs engagé à participer, dans la mesure qui sera proposée par la logopédiste qui suit C._______, à des séances lui permettant d'acquérir les bases du langage signé élaboré avec l'enfant. Les époux ont également convenu de consulter ensemble un thérapeute-médiateur qui les aide à améliorer leur relation parentale. Enfin, le recourant s'est engagé à continuer de contribuer à l'entretien de son fils, à raison de Fr. 250.- par mois.</w:t>
      </w:r>
    </w:p>
    <w:p>
      <w:r>
        <w:rPr>
          <w:b/>
        </w:rPr>
        <w:t>E. 8.2</w:t>
      </w:r>
    </w:p>
    <w:p>
      <w:r>
        <w:t>Sur requête du Tribunal de céans, le Service de protection de la jeunesse du canton de Vaud a établi un rapport concernant les relations familiales entre le recourant et son fils. Il ressort en particulier de ce rapport du 26 juin 2015 que le recourant, comparé à son épouse, "est dans un investissement moindre quant à la prise en charge de C._______. Cependant, il démontre une réelle affection quand il parle de son fils." Le Service de protection de la jeunesse a également observé ce qui suit: "Si B._______ peut, à juste titre, pointer le fait que A._______ annule des visites, nous estimons que les rencontres père/fils, qui ont lieu une à deux fois par semaine et jusqu'à 6 fois par mois, sont des relations proches et assez soutenues par rapport au cadre usuel des visites des pères divorcés". Le rapport relève également que "si A._______ n'est pas toujours très adéquat dans la prise en charge de son fils, comme peut le relater B._______, nous estimons qu'il est pas évident, pour un parent qui ne vit pas quotidiennement avec un enfant de 4 ans, surtout atteint de trisomie 21, de poser les bons gestes et d'avoir le comportement et la distance appropriés à ses besoins particuliers." En outre, le Service de protection de la jeunesse a relevé qu'il ne pouvait constater aucune mise en danger de C._______ de la part de son père qui démontrait un bon lien d'attachement et de l'affection envers son fils. Enfin, ledit service a ajouté qu'il se questionnait sur les conséquences d'un retour du recourant dans son pays d'origine sur le bon développement de son fils.</w:t>
      </w:r>
    </w:p>
    <w:p>
      <w:r>
        <w:rPr>
          <w:b/>
        </w:rPr>
        <w:t>E. 8.3</w:t>
      </w:r>
    </w:p>
    <w:p>
      <w:r>
        <w:t>Sur le plan de la relation affective que le recourant entretient avec son enfant, il y a lieu de retenir en défaveur de l'intéressé qu'il n'a fait ménage commun avec son enfant que durant quelque mois avant la séparation des époux survenue en mai 2012. En outre, s'il apparaît certes que le recourant voit régulièrement son fils, il sied cependant également de noter qu'il a annulé plusieurs visites (cf. le rapport susmentionné p. 2 et p.3). Or, selon la jurisprudence constante du Tribunal fédéral, le droit de visite n'est déterminant que dans la mesure où il est effectivement exercé (cf. consid. 7.3 supra). Enfin, il appert que A._______ n'est pas toujours très adéquat dans la prise en charge de son fils (cf. le rapport précité p. 3).</w:t>
      </w:r>
    </w:p>
    <w:p>
      <w:r>
        <w:rPr>
          <w:b/>
        </w:rPr>
        <w:t>E. 8.4</w:t>
      </w:r>
    </w:p>
    <w:p>
      <w:r>
        <w:t>Cela étant, selon le Service de protection de la jeunesse, l'intéressé démontre un bon lien d'attachement et de l'affection envers son fils (cf. p. 2 du rapport). Ledit service a en outre estimé que les rencontre père/fils, qui avaient lieu une à deux fois par semaine et jusqu'à six fois par mois, étaient des relations proches et assez soutenues par rapport au cadre usuel des visites des pères divorcés (cf. p. 3 du rapport).</w:t>
      </w:r>
    </w:p>
    <w:p>
      <w:r>
        <w:rPr>
          <w:b/>
        </w:rPr>
        <w:t>E. 8.5</w:t>
      </w:r>
    </w:p>
    <w:p>
      <w:r>
        <w:t>Aussi, comme le recourant a relevé à bon droit dans son mémoire de recours du 30 juin 2014, ainsi que dans les autres écritures déposées dans le cadre de la présente procédure de recours, il convient effectivement de prendre en considération, dans l'analyse de l'aménagement du droit de visite dont dispose le recourant, du fait que son fils est atteint de trisomie 21 (à ce sujet, cf. également l'attestation de la pédiatre de C._______ du 2 décembre 2015, dont il ressort que ce droit de visite tient compte de façon adéquate de la situation particulière de C._______). On ne saurait ainsi reprocher au recourant, comme l'a fait à tort l'autorité intimée dans la décision querellée, que son droit de visite ne correspond pas à un droit de visite usuel selon les standards d'aujourd'hui.</w:t>
      </w:r>
    </w:p>
    <w:p>
      <w:r>
        <w:rPr>
          <w:b/>
        </w:rPr>
        <w:t>E. 8.6</w:t>
      </w:r>
    </w:p>
    <w:p>
      <w:r>
        <w:t>De surcroît, c'est ici le lieu de noter que dans sa jurisprudence récente, le Tribunal fédéral a régulièrement insisté sur fait que la pesée des intérêts prévue par l'art. 8 CEDH et la jurisprudence y relative ne devait pas être effectuée de manière trop schématique et qu'il convenait d'accorder une importance particulière aux intérêts de l'enfant (cf. consid. 7.3 in fine supra et les arrêts du Tribunal fédéral 2C_1047/2013 du 24 juin 2014 consid. 3.3 et 2C_723/2014 consid. 2.3).</w:t>
      </w:r>
    </w:p>
    <w:p>
      <w:r>
        <w:rPr>
          <w:b/>
        </w:rPr>
        <w:t>E. 8.7</w:t>
      </w:r>
    </w:p>
    <w:p>
      <w:r>
        <w:t>Or, en l'occurrence, le Tribunal estime que l'autorité inférieure n'a pas suffisamment pris en considération la situation particulière de C._______. En raison de son état de santé, C._______ est en effet particulièrement fragile et l'interruption de sa relation avec son père est susceptible d'avoir un impact particulièrement grave sur sa situation. La pédiatre de C._______ a ainsi relevé, dans son certificat du 2 décembre 2015, que la séparation de C._______ d'avec son père revêtirait des conséquences très dommageables pour l'enfant. Le Service de protection de la jeunesse s'inquiète également des conséquences d'un départ du recourant sur le bon développement de son fils, puisqu'en raison de la maladie de l'enfant, il serait particulièrement difficile pour ce dernier d'appréhender le départ de son père et de maintenir un lien à distance (cf. le rapport du 26 juin 2015 p. 4).</w:t>
      </w:r>
    </w:p>
    <w:p>
      <w:r>
        <w:rPr>
          <w:b/>
        </w:rPr>
        <w:t>E. 8.8</w:t>
      </w:r>
    </w:p>
    <w:p>
      <w:r>
        <w:t>Ce dernier élément vient s'ajouter aux considérations exposées ci-avant, puisque le Tribunal estime que le fait qu'en raison de l'état de santé de C._______, la relation que cet enfant entretient avec son père ne pourrait pratiquement pas être maintenue en cas de renvoi de l'intéressé dans son pays d'origine constitue un autre argument important parlant en faveur de la poursuite du séjour de A._______ en Suisse (à ce sujet, cf. également le consid. 7.2 in fine supra et la jurisprudence citée).</w:t>
      </w:r>
    </w:p>
    <w:p>
      <w:r>
        <w:rPr>
          <w:b/>
        </w:rPr>
        <w:t>E. 8.9</w:t>
      </w:r>
    </w:p>
    <w:p>
      <w:r>
        <w:t>Partant, compte tenu de la fragilité particulière de C._______ en raison de son état de santé, de l'intensification continue des liens entre le recourant et son fils depuis la séparation des époux et de la normalisation des rapports entre les parents (cf. notamment le procès-verbal de l'audience du 3 novembre 2015), le Tribunal considère qu'il serait contraire au droit au respect de la vie familiale et à la protection de l'intérêt supérieur de l'enfant de retenir que la relation affective entre le recourant et son fils n'est pas suffisamment étroite pour justifier la poursuite de son séjour en Suisse.</w:t>
      </w:r>
    </w:p>
    <w:p>
      <w:r>
        <w:rPr>
          <w:b/>
        </w:rPr>
        <w:t>E. 8.10</w:t>
      </w:r>
    </w:p>
    <w:p>
      <w:r>
        <w:t>Sur le plan économique, le Tribunal constate que le recourant n'a pas réussi à démontrer qu'il s'est toujours acquitté des contributions d'entretien dues en faveur de son fils depuis sa séparation d'avec son épouse. Cela étant, il apparaît que la situation professionnelle de l'intéressé a évolué favorablement et qu'il est au bénéfice, depuis le 1er mars 2015, d'un contrat de travail de durée indéterminée à 80% en qualité d'aide-infirmier. Entre septembre 2015 et janvier 2016, il a par ailleurs effectué une formation d'auxiliaire de santé dispensée par la Croix-Rouge vaudoise (cf. l'attestation du 15 janvier 2016, voir également le courrier de son employeur du 18 janvier 2016 indiquant qu'en raison de l'achèvement de sa formation, son salaire mensuel brut passe à Fr. 3'291.55 pour son taux d'activité de 80%). Si en l'état, le salaire qu'il perçoit ne lui permet certes de participer que de manière modeste à l'entretien de son fils, il apparaît cependant que l'intéressé s'acquitte régulièrement de la contribution d'entretien fixée à Fr. 250.- (cf. notamment l'écrit du mandataire de B._______ du 12 novembre 2015). Partant, compte tenu des efforts consentis, du salaire modeste perçu par l'intéressé, ainsi que du fait que selon la jurisprudence du Tribunal fédéral, les exigences relatives à l'étendue de la relation que l'étranger doit entretenir avec son enfant d'un point de vue économique doivent rester dans l'ordre du possible et du raisonnable (cf. notamment l'arrêt du Tribunal fédéral 2C_555/2015 du 21 décembre 2015 consid. 5.3 et les références citées), le Tribunal estime que dans le cas particulier, il sied de retenir que la condition relative à la relation économique étroite doit être considérée comme remplie.</w:t>
      </w:r>
    </w:p>
    <w:p>
      <w:r>
        <w:rPr>
          <w:b/>
        </w:rPr>
        <w:t>E. 8.11</w:t>
      </w:r>
    </w:p>
    <w:p>
      <w:r>
        <w:t>Enfin, au vu des pièces du dossier, il appert que le recourant a fait preuve d'un comportement irréprochable en Suisse.</w:t>
      </w:r>
    </w:p>
    <w:p>
      <w:r>
        <w:rPr>
          <w:b/>
        </w:rPr>
        <w:t>E. 8.12</w:t>
      </w:r>
    </w:p>
    <w:p>
      <w:r>
        <w:t>Au regard des considérations qui précèdent, le Tribunal arrive à la conclusion qu'il s'agit d'un cas limite, compte tenu en particulier de l'annulation, par le recourant, de plusieurs visites, ainsi que de sa contribution modeste à l'entretien de son fils. Cependant, au regard de la fragilité particulière de C._______ en raison de son état de santé, de l'intensification continue des liens entre le recourant et son fils depuis la séparation des époux et de la normalisation des rapports entre les parents, le Tribunal estime que c'est à tort que le SEM a retenu que les conditions jurisprudentielles posées au renouvellement de l'autorisation de séjour du recourant en application de l'art. 8 CEDH en lien avec l'art. 50 LEtr n'étaient pas réalisées dans le cas particulier. Cela étant, dans la mesure où il s'agit d'un cas limite, il convient d'attirer l'attention du recourant sur le fait que l'autorité cantonale compétente peut refuser de renouveler son autorisation de séjour si les conditions y relatives ne sont plus remplies (cf. notamment Andreas Zünd et Ladina Arquint Hill, Beendigung der Anwesenheit, Entfernung und Fernhaltung, in : Uebersax et al. [éd.], Ausländerrecht, 2ème éd., 2009, n° 8.44s p. 338ss). Par conséquent, si l'intéressé ne devait pas maintenir les efforts consentis en lien avec la relation affective et économique qu'il entretient avec son fils, par exemple en annulant régulièrement des visites ou en omettant de s'acquitter de la pension due en faveur de son enfant, points que l'autorité cantonale compétente sera inévitablement amenée à vérifier avant de renouveler son autorisation de séjour, il ne remplirait plus les conditions jurisprudentielles posées au renouvellement de son autorisation de séjour en vertu de l'art. 8 CEDH.</w:t>
      </w:r>
    </w:p>
    <w:p>
      <w:r>
        <w:rPr>
          <w:b/>
        </w:rPr>
        <w:t>E. 9</w:t>
      </w:r>
    </w:p>
    <w:p>
      <w:r>
        <w:t>Le recours est en conséquence admis, la décision attaquée annulée et le renouvellement de l'autorisation de séjour de A._______ approuvé. Obtenant gain de cause, le recourant n'a pas à supporter de frais de procédure (cf. art. 63 al. 1 a contrario et al. 3 PA). La demande d'assistance judiciaire présentée par l'intéressé est dès lors devenue sans objet. Bien qu'elle succombe, l'autorité inférieure n'a pas à supporter de frais de procédure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les dépens sont arrêtés, au regard des art. 8ss FITAF, à Fr. 2'265.- (TVA comprise). C'est ici le lieu de noter que le Tribunal ne saurait se baser exclusivement sur la note d'honoraires versée au dossier par pli du 10 décembre 2015 pour fixer les dépens, compte tenu en particulier du fait que le temps pris en considération pour les nombreux contacts avec le client apparaît disproportionné (sur la fixation des dépens en présence d'un décompte de prestations, cf. notamment Moser et al., op. cit., n° 4.84 in fine p. 271).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