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C-3626/2007 vom 11. Mai 2009</w:t>
      </w:r>
    </w:p>
    <w:p>
      <w:r>
        <w:t>Bundesverwaltungsgericht, 2009-05-11, FR</w:t>
      </w:r>
    </w:p>
    <w:p>
      <w:r>
        <w:rPr>
          <w:b/>
        </w:rPr>
        <w:t xml:space="preserve">Quelle: </w:t>
      </w:r>
      <w:r>
        <w:t>https://mcp.opencaselaw.ch/entscheid/bvger_C-3626_2007</w:t>
      </w:r>
    </w:p>
    <w:p>
      <w:r>
        <w:t>FR: TAF C-3626/2007 du 11 mai 2009</w:t>
      </w:r>
    </w:p>
    <w:p>
      <w:r>
        <w:t>IT: TAF C-3626/2007 del 11 maggio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w:t>
      </w:r>
    </w:p>
    <w:p>
      <w:r>
        <w:rPr>
          <w:b/>
        </w:rPr>
        <w:t>E. 1.4</w:t>
      </w:r>
    </w:p>
    <w:p>
      <w:r>
        <w:t>X._______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consid. 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130 II 482 consid. 2, 129 II 401 consid. 2.2; arrêt du Tribunal fédéral 1C_509/2008 du 16 décembre 2008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voir également les arrêts du Tribunal fédéral 1C_509/2008 précité consid. 2.1.1, 1C_98/2008 du 16 mai 2008 consid. 3.3,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les arrêts du Tribunal fédéral 1C_201/2008 du 1er juillet 2008 consid. 2, 1C_294/2007 du 30 novembre 2007 consid. 3.3,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arrêt du Tribunal fédéral 1C_509/2008 précité ibid.).</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les arrêts du Tribunal fédéral 1C_460/2008 du 3 février 2009 consid. 4.1 et 1C_294/2007 précité, consid. 3.5).</w:t>
      </w:r>
    </w:p>
    <w:p>
      <w:r>
        <w:rPr>
          <w:b/>
        </w:rPr>
        <w:t>E. 4.2.2</w:t>
      </w:r>
    </w:p>
    <w:p>
      <w:r>
        <w:t>S'agissant d'une présomption de fait, qui ressortit à l'appréciation des preuves et ne modifie pas le fardeau de la preuve (cf. ATF 130 II précité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arrêts du Tribunal fédéral 1C_460/2008 précité ibidem et 1C_190/2008 du 29 janvier 2009 consid. 3, jurisprudence et doctrine citées).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17 janvier 2003 à X._______ a été annulée par l'autorité inférieure en date du 25 avril 2007, soit avant l'échéance du délai péremptoire de cinq ans prévu par la disposition précitée (cf. sur cette question l'arrêt du Tribunal fédéral 1C_325/2008 du 30 septembre 2008, consid. 3, et jurisprudence citée), avec l'assentiment de l'autorité du canton d'origine (Valais).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6.2</w:t>
      </w:r>
    </w:p>
    <w:p>
      <w:r>
        <w:t>Ainsi, il est à relever que le recourant a contracté mariage avec une ressortissante helvétique, C.________, alors qu'il se trouvait sous le coup d'une décision de refus d'asile et de renvoi de Suisse prononcée par l'autorité fédérale compétente, le 4 septembre 1997, lui impartissant un délai de départ au 31 octobre 1997. Ce mariage lui permettait de se soustraire à une éventuelle mesure d'éloignement, puisqu'il a obtenu de ce fait une autorisation de séjour dans le canton du Valais. Le 4 février 2002, X._______ a déposé une demande de naturalisation facilitée. Le 10 octobre suivant, le prénommé et son épouse ont signé la déclaration relative à la stabilité de leur communauté conjugale. Le 17 janvier 2003, le recourant s'est vu octroyer la naturalisation facilitée par l'Office fédéral. Par requête commune du 16 juin 2003, soit cinq mois après, les époux XC._______ ont ouvert une action tendant au divorce et à la ratification de la convention sur les effets du divorce signée par les parties le 16 juin 2003 (cf. dossier de divorce). Par jugement du 26 novembre 2003, le Tribunal d'arrondissement de la Côte a prononcé le divorce des intéressés (ibidem). Il ressort du courrier du Service valaisan de l'état civil et des étrangers du 21 avril 2006 que X._______ a entrepris des démarches auprès de l'autorité de l'état civil de Genève en vue d'épouser la mère de ses deux enfants, M._______, dont l'un était né durant son mariage avec C.________. Le Tribunal estime que ces éléments et leur enchaînement chronologique relativement rapide sont de nature à fonder la présomption que le recourant a obtenu la naturalisation facilitée de manière frauduleuse. En effet, le laps de temps entre la déclaration commune (10 octobre 2002), l'octroi de la naturalisation facilitée (17 janvier 2003) et le dépôt de la requête commune de divorce (16 juin 2003), tend à confirmer que le couple n'envisageait déjà plus une vie future partagée lors de la signature de cette déclaration de vie commune.</w:t>
      </w:r>
    </w:p>
    <w:p>
      <w:r>
        <w:rPr>
          <w:b/>
        </w:rPr>
        <w:t>E. 6.3</w:t>
      </w:r>
    </w:p>
    <w:p>
      <w:r>
        <w:t>Cette conviction est renforcée par plusieurs autres éléments.</w:t>
      </w:r>
    </w:p>
    <w:p>
      <w:r>
        <w:rPr>
          <w:b/>
        </w:rPr>
        <w:t>E. 6.3.1</w:t>
      </w:r>
    </w:p>
    <w:p>
      <w:r>
        <w:t>Le Tribunal observe ainsi que le recourant et son ex-épouse se sont mariés à Conthey le 6 mars 1998, alors que le premier faisait l'objet d'une d'une procédure de refus d'asile et de renvoi de Suisse en force. Cela étant, selon la jurisprudence, l'influence exercée par une telle situation sur la décision des conjoints de se marier ne préjuge pas en soi de la volonté que les époux ont ou n'ont pas de fonder une communauté conjugale effective et ne peut constituer un indice de mariage fictif que si elle est accompagnée d'autres éléments troublants (dans ce sens cf. arrêt du Tribunal fédéral 5A.11/2006 du 27 juin 2006, consid. 3.1), ce qui est précisément le cas en l'espèce comme il sera exposé ci-après.</w:t>
      </w:r>
    </w:p>
    <w:p>
      <w:r>
        <w:rPr>
          <w:b/>
        </w:rPr>
        <w:t>E. 6.3.2</w:t>
      </w:r>
    </w:p>
    <w:p>
      <w:r>
        <w:t>Le Tribunal constate ainsi, à l'instar de l'autorité inférieure, que durant son mariage avec C.________, le recourant a eu un enfant, prénommé N._______, né le 13 septembre 2002 et issu de ses relations extra-conjugales avec une citoyenne d'origine nigériane, M._______ (cf. « Certificate of Live Birth » daté du 17 mars 2003 émis par la municipalité de Livingston [New Jersey/Etats-Unis]), enfant dont l'existence était inconnue de C.________ pendant son mariage (cf. p.-v. d'audition du 18 décembre 2006, p. 4). A ce propos, on ne saurait suivre le recourant lorsqu'il prétend que la naissance de cet enfant a été accidentelle. En effet, pareille assertion est contredite par la naissance du deuxième enfant du recourant, le 11 septembre 2005 (cf. « Certificate of Live Birth » émis le 30 mars 2006 par la municipalité de Livingston), et par les démarches entreprises par ce dernier en avril 2006 auprès de l'état civil de Genève dans le but d'épouser la mère de ses deux enfants, M._______ (cf. courrier du Service valaisan de l'état civil et des étrangers du 21 avril 2006). Il s'impose donc de constater que, durant cette période, X._______ a mené une véritable double vie, l'une en Suisse aux côtés de C.________, l'autre probablement à l'étranger avec M._______. Or, force est d'admettre que pareil comportement, a fortiori lorsqu'il s'inscrit dans la durée, est manifestement incompatible avec la notion de vie commune voulue par l'art. 27 LN, à savoir, pour rappel, une communauté effective et stable, tournée vers l'avenir, dans laquelle les époux se sont promis fidélité et assistance (cf. arrêts du Tribunal fédéral 1C_504/2008 du 5 mars 2009 consid. 2.4, 1C_509/2008 précité consid. 2.2). Que le recourant ait fait des efforts importants d'intégration personnelle et professionnelle (cf. mémoire de recours, p. 4, et p.-v. d'audition du 18 décembre 2006, p. 3) et qu'il ait pu mener, du moins en apparence et au début du mariage, une vie harmonieuse avec C.________ n'y change rien. Au contraire, le Tribunal se doit plutôt de souligner que le recourant a dissimulé à C.________, jusqu'au mois d'octobre 2006, les liens qui l'unissaient à M._______ ainsi que l'existence de cet enfant (cf. p.-v. d'audition du 18 décembre 2006, p. 4), ce qui tend à démontrer qu'il craignait pour la pérennité de son mariage si son adultère était venu à la connaissance de son épouse. Cette opinion est d'ailleurs confirmée par les déclarations de C.________ (ibidem): « Si j'avais su que Sammy avait eu un enfant hors mariage lors de notre vie commune, je n'aurais jamais signé » (la déclaration de vie commune le 10 octobre 2002). Aussi les assertions du recourant, aux termes desquelles il n'y avait « rien de programmé » du fait de son « aventure » et il avait épousé la prénommée en 1998 sur la base de « sentiments réciproques et profonds » (cf. mémoire de recours, pp. 4 et 5), sont-elles fortement sujettes à caution. Il en va d'ailleurs de même de l'affirmation selon laquelle il a « profondément » aimé sa femme et eu l'intention de vivre avec son épouse pour fonder une famille (cf. mémoire de recours, pp. 4 et 5). Sur un autre plan, il appert des pièces du dossier que les époux XC._______ avaient régulièrement eu des différends durant leur union conjugale - principalement en raison de leurs différences culturelles et religieuses - et qu'ils n'avaient eu que très peu d'activités et intérêts communs, du moins si l'on se réfère aux déclarations de C.________: « Je dois avouer que c'est ce qui manquait dans notre vie commune » (cf. p.-v. d'audition du 18 décembre 2006, p. 3). Il est aussi significatif de relever que la prénommée n'a accompagné son ex-époux qu'à une seule reprise au Nigéria, du 27 décembre 1998 au 16 janvier 1999, pour y rendre visite à sa famille proche, et cela peu de temps après le mariage (ibid.). Force est de constater que les éléments mis en avant ci-dessus permettent de douter que le recourant et son épouse aient réellement constitué une véritable communauté conjugale, au sens de la jurisprudence évoquée plus haut, et laissent plutôt à penser que le mariage a été contracté en mars 1998 dans le but principal d'éluder les dispositions en matière de séjour et établissement.</w:t>
      </w:r>
    </w:p>
    <w:p>
      <w:r>
        <w:rPr>
          <w:b/>
        </w:rPr>
        <w:t>E. 7</w:t>
      </w:r>
    </w:p>
    <w:p>
      <w:r>
        <w:t>Par ailleurs, le recourant n'a pas rendu vraisemblable la survenance d'un événement extraordinaire susceptible d'expliquer une détérioration rapide du lien conjugal, au sens indiqué plus haut (cf. ch 4.2.2 in fine). En effet, en ce qui concerne les raisons ayant amené les époux à se séparer, il appert du dossier que les « gros » problèmes conjugaux étaient apparus une année avant leur séparation fin avril 2003 (cf. p.-v. d'audition du 18 décembre 2006, p. 2), soit en avril 2002 déjà, et qu'il y avait une divergence d'opinion au sein du couple quant à une éventuelle descendance commune (ibid., p. 4). Sur ce dernier point, il est exposé dans le recours que C.________ ne voulait pas d'enfant, ou en tous les cas pas en même que son mari, et que cela avait toujours été une préoccupation pour ce dernier qui souhaitait fonder une famille avec la prénommée (cf. mémoire de recours, p. 4). Or, il est constant que de tels motifs ne sauraient être survenus de manière inattendue et subite, précisément quelques mois seulement après l'obtention de la nationalité suisse.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 de tentatives de réconciliation (cf. les arrêts du Tribunal fédéral 5A.11/2006 du 27 juin 2006, consid. 4.1, et 5A.18/2003 du 19 novembre 2003, consid. 2.2). Au demeurant, il sied de souligner que C.________ n'a pas fait état, lors de son audition, d'un événement particulier qui serait intervenu juste après l'octroi de la naturalisation facilitée en date du 17 janvier 2003, se bornant à déclarer que « notre relation a continué à se dégrader » depuis ce moment-là (cf. p.-v. d'audition du 18 décembre 2006, p. 5). Quant au recourant, il n'a pas allégué la survenance d'un tel motif à l'appui de son pourvoi, ni rendu vraisemblable qu'au mois d'octobre 2002, au moment de la signature de la déclaration commune, il n'avait pas conscience du fait que les difficultés surgies au sein du couple pourraient conduire les intéressés à une rapide séparation. Dans ces circonstances, les éléments qu'il a avancés dans le recours ne sont pas susceptibles de renverser la présomption établie. Il en découle que les conditions d'application de l'art. 41 LN sont réunies et que l'ODM n'a pas abusé de son pouvoir d'appréciation en annulant la naturalisation facilitée qui avait été octroyée au recourant.</w:t>
      </w:r>
    </w:p>
    <w:p>
      <w:r>
        <w:rPr>
          <w:b/>
        </w:rPr>
        <w:t>E. 8.1</w:t>
      </w:r>
    </w:p>
    <w:p>
      <w:r>
        <w:t>En conclusion, à défaut de contre-preuves apportées par le recourant, le Tribunal de céans est d'avis qu'il y a lieu de s'en tenir à la présomption de fait, fondée essentiellement sur l'enchaînement rapide des événements, que la naturalisation facilitée a été obtenue de façon frauduleuse (cf. ATF 130 II 482).</w:t>
      </w:r>
    </w:p>
    <w:p>
      <w:r>
        <w:rPr>
          <w:b/>
        </w:rPr>
        <w:t>E. 8.2</w:t>
      </w:r>
    </w:p>
    <w:p>
      <w:r>
        <w:t>Par surabondance de droit, il sied de noter que X._______ a caché à l'ODM la naissance de son premier enfant, soit un fait essentiel, dans le cadre de la procédure de naturalisation facilitée. Il va sans dire que si l'intéressé avait alors révélé l'existence de cet enfant, les autorités compétentes auraient été amenées à entreprendre des investigations plus poussées avant de lui octroyer la naturalisation facilitée (cf. arrêt du Tribunal fédéral 1C_379/2007 du 7 décembre 2007, consid. 7). Il y a donc tout lieu de penser que le second mariage devait forcément avoir été projeté par l'intéressé depuis un certain temps déjà. Les explications peu convaincantes fournies par le recourant dans son pourvoi ne sont en tout cas pas susceptibles de modifier cette analyse.</w:t>
      </w:r>
    </w:p>
    <w:p>
      <w:r>
        <w:rPr>
          <w:b/>
        </w:rPr>
        <w:t>E. 8.3</w:t>
      </w:r>
    </w:p>
    <w:p>
      <w:r>
        <w:t>Partant, l'ODM était parfaitement fondé à considérer que la naturalisation facilitée conférée au recourant le 17 janvier 2003 avait été obtenue sur la base de déclarations mensongères, voire d'une dissimulation de faits essentiels, et donc à prononcer, avec l'assentiment du canton d'origine, l'annulation de cette naturalisation en application de l'art. 41 LN.</w:t>
      </w:r>
    </w:p>
    <w:p>
      <w:r>
        <w:rPr>
          <w:b/>
        </w:rPr>
        <w:t>E. 9.1</w:t>
      </w:r>
    </w:p>
    <w:p>
      <w:r>
        <w:t>Le recourant allègue encore qu'il est victime d'une discrimination raciale au sens de l'art. 14 CEDH (cf. mémoire de recours, p. 7), disposition qui stipule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 cet égard, le Tribunal observe que, selon la jurisprudence du Tribunal fédéral, l'interdiction de toute discrimination formulée par l'art. 14 CEDH ne peut être invoquée que lorsqu'une discrimination touche à la jouissance des autres libertés reconnues dans ladite Convention (cf. ATF 120 V 1 consid. 2b et doctrine citée), ce qui n'est à l'évidence pas le cas en l'occurrence. Au demeurant, il convient de noter que ladite allégation n'est aucunement étayée, en ce sens que le recourant n'explique pas en quoi la disposition conventionnelle aurait été violée par l'autorité inférieure. Le grief formulé sur ce point n'est donc pas recevable.</w:t>
      </w:r>
    </w:p>
    <w:p>
      <w:r>
        <w:rPr>
          <w:b/>
        </w:rPr>
        <w:t>E. 9.2</w:t>
      </w:r>
    </w:p>
    <w:p>
      <w:r>
        <w:t>Enfin, les critiques relatives au droit d'être entendu émises par le recourant (cf. mémoire de recours, p. 7) ne sont pas fondées. Il ressort en effet clairement du dossier que l'ODM a suffisamment exposé, dans sa décision, le point de vue qui avait été exprimé par X._______ au sujet des déclarations faites par son ex-épouse le 18 décembre 2006 (cf. décision du 25 avril 2007, consid. 7). Cela étant, même si l'on retenait l'hypothèse selon laquelle le droit d'être entendu du recourant aurait été violé par l'autorité inférieure, il faut admettre qu'une telle violation a été réparée en procédure de recours, la faculté ayant été donnée à l'intéressé de présenter tous ses moyens devant le Tribunal (cf. ANDRÉ MOSER/MICHAEL BEUSCH/LORENZ KNEUBÜHLER, Prozessieren vor dem Bundesverwaltungsgericht, Helbing Lichtenhahn Verlag, Bâle 2008, en particulier ch. 2.152).</w:t>
      </w:r>
    </w:p>
    <w:p>
      <w:r>
        <w:rPr>
          <w:b/>
        </w:rPr>
        <w:t>E. 10</w:t>
      </w:r>
    </w:p>
    <w:p>
      <w:r>
        <w:t>Il ressort de ce qui précède que, par sa décision du 25 avril 2007, l'ODM n'a ni violé le droit fédéral ni constaté des faits pertinents de manière inexacte ou incomplète;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