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C-3623/2022 vom 18. Juni 2024</w:t>
      </w:r>
    </w:p>
    <w:p>
      <w:r>
        <w:t>Bundesverwaltungsgericht, 2024-06-18, IT</w:t>
      </w:r>
    </w:p>
    <w:p>
      <w:r>
        <w:rPr>
          <w:b/>
        </w:rPr>
        <w:t xml:space="preserve">Quelle: </w:t>
      </w:r>
      <w:r>
        <w:t>https://mcp.opencaselaw.ch/entscheid/bvger_C-3623_2022</w:t>
      </w:r>
    </w:p>
    <w:p>
      <w:r>
        <w:t>FR: TAF C-3623/2022 du 18 juin 2024</w:t>
      </w:r>
    </w:p>
    <w:p>
      <w:r>
        <w:t>IT: TAF C-3623/2022 del 18 giugno 2024</w:t>
      </w:r>
    </w:p>
    <w:p>
      <w:pPr>
        <w:pStyle w:val="Heading2"/>
      </w:pPr>
      <w:r>
        <w:t>Regeste</w:t>
      </w:r>
    </w:p>
    <w:p>
      <w:r>
        <w:t>Diritto alla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w:t>
      </w:r>
    </w:p>
    <w:p>
      <w:r>
        <w:t>C-3623/2022 Pagina 6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Il ricorrente è cittadino di uno Stato membro della Comunità europea, è domiciliato in Italia e sussiste un nesso transnazionale, il medesimo es- sendo stato assicurato ed avendo lavorato in Svizzera tra il 1978 ed il 2007 (doc. UAIE 52;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w:t>
      </w:r>
    </w:p>
    <w:p>
      <w:r>
        <w:t>C-3623/2022 Pagina 7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2</w:t>
      </w:r>
    </w:p>
    <w:p>
      <w:r>
        <w:t>Il ricorrente è cittadino di uno Stato membro della Comunità europea, è domiciliato in Italia e sussiste un nesso transnazionale, il medesimo essendo stato assicurato ed avendo lavorato in Svizzera tra il 1978 ed il 2007 (doc. UAIE 52;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Salvo disposizioni transitorie contrarie, le nuove norme procedurali si ap- plicano immediatamente e in piena misura con la loro entrata in vigore (DTF 129 V 113 consid. 2.2; 130 V 1 consid. 3.2).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3.2</w:t>
      </w:r>
    </w:p>
    <w:p>
      <w:r>
        <w:t>La seconda domanda di una rendita d’invalidità svizzera essendo stata presentata il 15 ottobre 2019, al caso in esame, salvo indicazione contraria, si applicano di principio le disposizioni della 6a revisione della LAI entrate in vigore il 1° gennaio 2012 (cfr. DTF 130 V 1 consid. 3.2 per quanto con- 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3.3</w:t>
      </w:r>
    </w:p>
    <w:p>
      <w:r>
        <w:t>Il potere cognitivo di questo Tribunale è delimitato dalla data della de- cisione impugnata, in concreto il 17 giugno 2022.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w:t>
      </w:r>
    </w:p>
    <w:p>
      <w:r>
        <w:t>C-3623/2022 Pagina 8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4.3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4.4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4.5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4.3 del presente giudizio]; DTF 142 V 547 consid. 3.2), ma al più presto a partire dal mese seguente il compi- mento dei 18 anni. L’art. 29 cpv. 3 LAI precisa altresì che la rendita è ver- sata all'inizio del mese in cui nasce il diritto.</w:t>
      </w:r>
    </w:p>
    <w:p>
      <w:r>
        <w:t>C-3623/2022 Pagina 9</w:t>
      </w:r>
    </w:p>
    <w:p>
      <w:r>
        <w:rPr>
          <w:b/>
        </w:rPr>
        <w:t>E. 4.6</w:t>
      </w:r>
    </w:p>
    <w:p>
      <w:r>
        <w:t>Secondo l’art. 30 LAI (nella versione in vigore fino al 31 dicembre 2023), il diritto alla rendita si estingue con l’inizio del diritto a una rendita di vecchiaia dell’AVS.</w:t>
      </w:r>
    </w:p>
    <w:p>
      <w:r>
        <w:rPr>
          <w:b/>
        </w:rPr>
        <w:t>E. 4.7</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4.8</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w:t>
      </w:r>
    </w:p>
    <w:p>
      <w:r>
        <w:t>Dal momento che è entrata nel merito della seconda domanda di rendita d’invalidità presentata dal ricorrente il 15 ottobre 2019, all'autorità inferiore incombeva, in analogia ad una revisione ai sensi dell'art. 17 LPGA (nella versione in vigore fino al 31 dicembre 2021), di esaminare se tra la situa- zione esistente al momento dell'ultima decisione cresciuta in giudicato che è stata oggetto di un esame materiale del diritto alla rendita, nel caso con- creto al 29 maggio 2017, e la situazione al momento dell'emanazione della decisione impugnata, del 17 giugno 2022, è intervenuta una modifica si- gnificativa del grado d'invalidità (cfr. sentenze del TF 9C_421/2014 del 21 luglio 2014 consid. 3 e 9C_418/2010 del 29 agosto 2011 consid. 4.2 e 4.3; cfr. pure sentenza del TAF C-1136/2021 del 23 dicembre 2022 consid. 6).</w:t>
      </w:r>
    </w:p>
    <w:p>
      <w:r>
        <w:rPr>
          <w:b/>
        </w:rPr>
        <w:t>E. 6.1</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w:t>
      </w:r>
    </w:p>
    <w:p>
      <w:r>
        <w:t>C-3623/2022 Pagina 10</w:t>
      </w:r>
    </w:p>
    <w:p>
      <w:r>
        <w:rPr>
          <w:b/>
        </w:rPr>
        <w:t>E. 6.2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7</w:t>
      </w:r>
    </w:p>
    <w:p>
      <w:r>
        <w:t>Il giudice delle assicurazioni sociali deve esaminare in maniera obiettiva tutti i mezzi di prova, indipendentemente dalla loro provenienza, e poi de- cidere se i documenti messi a disposizione permettono di giungere ad un giudizio attendibile sulle pretese giuridiche litigiose. Affinché il giudizio me- dico acquisti valore di prova rilevante, esso deve essere completo in merito ai temi sollevati, deve fondarsi, in piena conoscenza della pregressa situa- zione valetudinaria (anamnesi), su esami approfonditi e tenere conto delle censure sollevate dal paziente, per poi giungere in maniera chiara a fon- 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8</w:t>
      </w:r>
    </w:p>
    <w:p>
      <w:r>
        <w:t>Al fine di determinare lo statuto della persona assicurata (persona eserci- tante un’attività lucrativa a tempo pieno, a tempo parziale, senza attività lucrativa), si deve segnatamente esaminare se (e in quale misura) la stessa, da sana, avrebbe consacrato l’essenziale della sua attività all’eco- nomia domestica o a un’occupazione lucrativa, questo alla luce della sua situazione personale, famigliare, sociale, finanziaria e professionale. Inol- tre, per determinare il campo d’attività che avrebbe occupato la persona assicurata, se avesse goduto di buona salute, si deve tenere conto della necessità di riprendere o estendere un lavoro, dell’età, delle eventuali cure da prestare ai figli, della sua formazione, delle sue qualifiche personali e delle sue attitudini, ritenuto come nessuno di questi elementi abbia priorità sugli altri. Ai fini di questa valutazione si deve ugualmente tenere conto della volontà ipotetica della persona interessata, la quale, ove non altri- menti desumibile, dovrà dedursi, in quanto fatto interno, da indizi esterni,</w:t>
      </w:r>
    </w:p>
    <w:p>
      <w:r>
        <w:t>C-3623/2022 Pagina 11 stabiliti secondo il grado della verosimiglianza preponderante richiesto nel diritto delle assicurazioni sociali (DTF 144 I 28 consid. 2.3; 141 V 15 consid. 3.1; 137 V 334 consid. 3.2; sentenze del TF 9C_279/2018 del 28 giugno 2018 consid. 2.2 e 9C_339/2014 del 31 luglio 2014 consid. 2.3).</w:t>
      </w:r>
    </w:p>
    <w:p>
      <w:r>
        <w:rPr>
          <w:b/>
        </w:rPr>
        <w:t>E. 8.3</w:t>
      </w:r>
    </w:p>
    <w:p>
      <w:r>
        <w:t>e 138 V 197 consid. 5.6.2; sentenze del TAF C-7009/2017 del 2 dicem- bre 2019 consid. 5.3 e C-794/2017 del 2 novembre 2017 consid. 6.3 a 6.5).</w:t>
      </w:r>
    </w:p>
    <w:p>
      <w:r>
        <w:rPr>
          <w:b/>
        </w:rPr>
        <w:t>E. 9</w:t>
      </w:r>
    </w:p>
    <w:p>
      <w:r>
        <w:t>Nell’ambito della prima domanda di rendita, nel rapporto del 15 febbraio 2017 del medico dell’UAIE (doc. UAIE 54), erano stati diagnosticati una cardiopatia valvolare (con stato dopo sostituzione della valvola mitralica e posa di stimolatore cardiaco) nonché il morbo di Basedow (con stato dopo tiroidectomia totale per carcinoma e inizio di terapia sostitutiva), rilevati dei dolori alla spalla sinistra come pure delle lombalgie e, fermo restando delle limitazioni per l’esercizio di lavori pesanti o implicanti grande stress, rite- nuto esigibile, dal 2003, l’esercizio al 100% dell’attività di maître d’hotel. Con decisione del 29 maggio 2017 (doc. UAIE 56), l’UAIE ha poi respinto la domanda di rendita d’invalidità svizzera, ritenuto in particolare che mal- grado il danno alla salute l’esercizio di un’attività lucrativa era da conside- rare esigibile in misura sufficiente per escludere il diritto ad una rendita.</w:t>
      </w:r>
    </w:p>
    <w:p>
      <w:r>
        <w:rPr>
          <w:b/>
        </w:rPr>
        <w:t>E. 10</w:t>
      </w:r>
    </w:p>
    <w:p>
      <w:r>
        <w:t>Nell’ambito della seconda domanda di rendita, con decisione del 17 giugno 2022 (doc. UAIE 155), l’UAIE ha considerato che non può essere versata alcuna rendita d’invalidità svizzera per l’incapacità lavorativa del 70% in attività confacenti allo stato di salute dall’8 luglio 2019, ritenuto che nel mo- mento in cui è insorto il danno alla salute, il ricorrente non esercitava più un’attività lucrativa e non svolgeva le consuete mansioni domestiche, es- sendo già in pensione e percependo una pensione di vecchiaia italiana dal 1° settembre 2017, di modo che non subiva alcuna perdita di guadagno.</w:t>
      </w:r>
    </w:p>
    <w:p>
      <w:r>
        <w:rPr>
          <w:b/>
        </w:rPr>
        <w:t>E. 10.1.1</w:t>
      </w:r>
    </w:p>
    <w:p>
      <w:r>
        <w:t>Quanto alle indicazioni sullo stato di salute somatico dell’insorgente, nel rapporto del 3 agosto 2020 (doc. UAIE 86), il medico dell’UAIE dott. B._______, specialista in medicina generale, ha rilevato che i documenti medici prodotti espongono le patologie note e precedentemente diagnosti- cate, senza oggettivare alcuna nuova affezione e neppure alcuna modifica dell’incapacità lavorativa (rispetto al quadro clinico esistente al momento della sua valutazione nel febbraio del 2017). Secondo il medico, non sus- siste, dal profilo somatico, alcuna malattia invalidante.</w:t>
      </w:r>
    </w:p>
    <w:p>
      <w:r>
        <w:rPr>
          <w:b/>
        </w:rPr>
        <w:t>E. 10.1.2</w:t>
      </w:r>
    </w:p>
    <w:p>
      <w:r>
        <w:t>Questo Tribunale rileva che, dal profilo somatico, può essere rite- nuto che il ricorrente soffre, almeno dal 2003, di una cardiopatia valvolare</w:t>
      </w:r>
    </w:p>
    <w:p>
      <w:r>
        <w:t>C-3623/2022 Pagina 12 con stato dopo intervento, il 22 agosto 2003, di sostituzione della valvola mitralica e posa di stimolatore cardiaco (doc. UAIE 20) nonché, almeno dal 2007, del morbo di Basedow con stato dopo intervento, il 3 giugno 2014, di tiroidectomia totale (doc. UAIE 16 e UAIE 18) e che il medesimo presenta una capacità al lavoro del 100% nell’attività di maître d’hotel (v., in partico- lare, doc. UAIE 54 [rapporto del febbraio 2017 del dott. B._______]).</w:t>
      </w:r>
    </w:p>
    <w:p>
      <w:r>
        <w:rPr>
          <w:b/>
        </w:rPr>
        <w:t>E. 10.2.1</w:t>
      </w:r>
    </w:p>
    <w:p>
      <w:r>
        <w:t>Quanto alla valutazione sullo stato di salute psichico dell’insorgente, nel rapporto del 16 marzo 2021 (doc. UAIE 117), il medico dell’UAIE dott. D._______, specialista in psichiatria e psicoterapia, ha segnalato che i rap- porti psichiatrici dell’8 luglio 2019 del Dipartimento di salute mentale di (…) e del 5 marzo 2021 del Dipartimento di salute mentale di (…; doc. UAIE 98 e UAIE 113) evidenziano un tono dell’umore disforico, scarsa autonomia sociale, difficoltà nelle relazioni interpersonali. Il medico ha diagnosticato, in virtù degli indicatori stabiliti dalla giurisprudenza del Tribunale federale concernente l’esame del diritto a una rendita d’invalidità in presenza di di- sturbi psichici, un disturbo depressivo ricorrente, episodio moderato senza sintomi psicotici (ICD 10 F 33.1) ed un disturbo di personalità (ICD 10 F 60.9), disturbi che, a suo parere, hanno delle ripercussioni sia nell’ambito professionale che nell’ambito personale ed influenzano le relazioni inter- personali, l’isolamento sociale e l’umore. Ha concluso, dal profilo psichico, ad un’incapacità al lavoro del 100% nell’attività di maître d’hotel e del 70% in un’attività sostitutiva adeguata, dall’8 luglio 2019 (data del rapporto psi- chiatrico del Dipartimento di salute mentale di …).</w:t>
      </w:r>
    </w:p>
    <w:p>
      <w:r>
        <w:rPr>
          <w:b/>
        </w:rPr>
        <w:t>E. 10.2.2</w:t>
      </w:r>
    </w:p>
    <w:p>
      <w:r>
        <w:t>Questo Tribunale rileva che è incontestato – sia da parte del ricor- rente sia da parte dell’UAIE – che vi è stato un peggioramento dello stato di salute dal profilo psichico rispetto alla situazione esistente al momento della decisione del 29 maggio 2017 sulla prima domanda di rendita d’inva- lidità, l’insorgente essendo affetto (anche) da un disturbo depressivo ricor- rente (ICD 10 F 33.1) e da un disturbo di personalità (ICD 10 F 60.9).</w:t>
      </w:r>
    </w:p>
    <w:p>
      <w:r>
        <w:rPr>
          <w:b/>
        </w:rPr>
        <w:t>E. 10.2.3</w:t>
      </w:r>
    </w:p>
    <w:p>
      <w:r>
        <w:t>Quanto al momento in cui tale peggioramento è intervenuto, il me- dico dell’UAIE ha reputato di poter ravvisare, in virtù del rapporto psichia- trico del Dipartimento di salute mentale di (…; doc. UAIE 98), un peggiora- mento significativo dello stato di salute dell’insorgente a far tempo dall’8 luglio 2019. Il ricorrente rileva, per contro, che sussiste un “verosimile le- game” fra le patologie somatiche e quelle fisiche, nel senso che le patologie somatiche, che hanno condotto allo scompenso psichico, erano già pre- senti nel 2016 ed hanno comportato un’evoluzione negativa del suo stato</w:t>
      </w:r>
    </w:p>
    <w:p>
      <w:r>
        <w:t>C-3623/2022 Pagina 13 di salute (doc. UAIE 153 [rapporto psichiatrico del febbraio 2022]). Segnala che la sindrome depressiva con disturbo del comportamento e disadatta- mento sociale, deficit della memoria e ideazione, di cui soffre, è presente “da alcuni anni” (doc. UAIE 95 [relazione medica dell’agosto 2019]). Pre- cisa poi che assume un farmaco ansiolitico (“…”) dal 2013 (doc. TAF 1 doc. C [rapporto cardiaco del dicembre 2013]; ricorso del 22 agosto 2022 pag. 3, 5 e 6).</w:t>
      </w:r>
    </w:p>
    <w:p>
      <w:r>
        <w:rPr>
          <w:b/>
        </w:rPr>
        <w:t>E. 10.2.4</w:t>
      </w:r>
    </w:p>
    <w:p>
      <w:r>
        <w:t>Quand’anche nell’ambito della prima procedura AI che ha condotto alla decisione del 29 maggio 2017, non è stato diagnosticato alcun disturbo psichico (doc. UAIE 54 [presa di posizione del febbraio 2017 del medico dell’UAIE]), nel rapporto psichiatrico del 18 dicembre 2012 (doc. UAIE 23) era indicato che l’insorgente era stato sottoposto, il 14 novembre 2012, ad una visita psichiatrica, presentava problemi di controllo degli impulsi, in particolare del sentimento della rabbia e del comportamento aggressivo, ed assumeva un trattamento con un farmaco ansiolitico ed un farmaco an- tidepressivo. Il certificato medico del 12 maggio 2016 (doc. UAIE 37) dia- gnosticava poi una depressione con ansia. Nell’ambito della seconda pro- cedura AI in esame, il rapporto psichiatrico dell’8 luglio 2019 (doc. UAIE 98) riferisce di “sintomi psichici (ansia) risalenti a molti anni fa”. Quanto al rapporto psichiatrico del 17 febbraio 2022 (doc. UAIE 53), lo stesso con- clude ad uno “stato ansioso reattivo a problematiche sanitarie”. Ciò pre- messo, i documenti medici permettono di oggettivare la presenza di pato- logie psichiche anteriormente all’8 luglio 2019 (data del rapporto psichia- trico del Dipartimento di salute mentale di …).</w:t>
      </w:r>
    </w:p>
    <w:p>
      <w:r>
        <w:rPr>
          <w:b/>
        </w:rPr>
        <w:t>E. 10.3</w:t>
      </w:r>
    </w:p>
    <w:p>
      <w:r>
        <w:t>Per quanto attiene allo statuto, l’UAIE ha indicato, nella decisione del 17 giugno 2022 (doc. UAIE 155 pag. 2), che l’insorgente ha interrotto l’at- tività professionale in data 31 agosto 2017 a seguito di dimissioni volontarie per pensionamento anticipato ed ha considerato che, da sano, avrebbe consacrato la sua attività ad un’occupazione lucrativa a tempo pieno. Dal questionario per il datore di lavoro del luglio 2021 (doc. UAIE 134), emerge che il ricorrente ha lavorato come maître d’hotel, dal 16 novembre 2001 al 31 agosto 2017, in ragione di 39 ore alla settimana, ed ha interrotto il lavoro per dimissioni volontarie per pensionamento. Quanto alla sua allegazione, secondo cui non è stata “analizzata la questione dell’impedimento nello svolgimento delle mansioni consuete” (ricorso del 22 agosto 2022 pag. 8), può essere rilevato che il ricorrente stesso ha indicato, nel questionario per l’assicurato, di essere “pensionato”, precisando poi che la coniuge è “ca- salinga”, senza completare la parte concernente le singole attività nell’am- bito delle mansioni domestiche (cfr. le sue risposte alle domande 9a, 17 e 20 del questionario per l’assicurato; doc. UAIE 75 pag. 5, 8 e 9). Ciò</w:t>
      </w:r>
    </w:p>
    <w:p>
      <w:r>
        <w:t>C-3623/2022 Pagina 14 premesso, a giusta ragione, l’UAIE ha ritenuto quale statuto dell’insorgente quello di lavoratore a tempo pieno.</w:t>
      </w:r>
    </w:p>
    <w:p>
      <w:r>
        <w:rPr>
          <w:b/>
        </w:rPr>
        <w:t>E. 10.4.1</w:t>
      </w:r>
    </w:p>
    <w:p>
      <w:r>
        <w:t>Quanto all’incidenza del peggioramento dello stato di salute dal pro- filo psichico, il ricorrente asserisce che ha dovuto più volte “adeguare la sua attività lavorativa al suo stato di salute”, che è sempre peggiorato (ri- corso del 22 agosto 2022 pag. 4). In particolare, ha dovuto tornare in Italia a lavorare “in quanto la Svizzera non gli offriva un impiego adatto ai suoi handicap” (doc. UAIE 150 [scritto di opposizione del 24 gennaio 2022]). L’insorgente riferisce poi di aver intrapreso le procedure “volte al voler ter- minare un’attività lavorativa che non risultava più esigibile nel lungo ter- mine” (dapprima ha chiesto, con effetto al 1° settembre 2017, il pensiona- mento anticipato in Italia, poi ha presentato, il 29 ottobre 2018, la domanda di indennità per accompagnamento italiana ed infine, il 19 ottobre 2019, la seconda domanda di rendita d’invalidità svizzera qui in esame [ricorso del 22 agosto 2022 pag. 5 e 6]). Sottolinea che il fatto che, da giugno 2014, non sia più stato assente dal posto di lavoro per motivi di salute, non per- mette di escludere la presenza di una malattia psichica invalidante già al momento della fine del rapporto di lavoro (il 31 agosto 2017). Precisa che in Italia “ha potuto risolvere la questione delle difficoltà lavorative per motivi di salute” con la presentazione di una domanda di pensionamento antici- pato. Percepisce (anche) un’indennità di accompagnamento italiana, pre- stazione che, a suo dire, “non (è) fondata sulla perdita di guadagno, ma sulla necessità di aiuto di terzi per compiere gli atti ordinari della vita” (ri- corso del 22 agosto 2022 pag. 4 e 8).</w:t>
      </w:r>
    </w:p>
    <w:p>
      <w:r>
        <w:rPr>
          <w:b/>
        </w:rPr>
        <w:t>E. 10.4.2</w:t>
      </w:r>
    </w:p>
    <w:p>
      <w:r>
        <w:t>Dal questionario del maggio 2021 (dell’ultimo) datore di lavoro in Svizzera, la “(…)” di (…; doc. UAIE 128), presso cui il ricorrente ha lavo- rato, in qualità di “Chef de Service Direttore Generale”, dal 13 febbraio 1988 al 31 gennaio 1999, risulta invero che egli ha interrotto il lavoro per “lasciare la Svizzera per l’Italia”. L’allora datore di lavoro ha peraltro preci- sato che l’insorgente lavorava 42 ore alla settimana, senza aver dovuto svolgere lavori più leggeri per motivi di salute (cfr. le risposte alle domande 2, 4 e 5 dell’apposito formulario).</w:t>
      </w:r>
    </w:p>
    <w:p>
      <w:r>
        <w:rPr>
          <w:b/>
        </w:rPr>
        <w:t>E. 10.4.3</w:t>
      </w:r>
    </w:p>
    <w:p>
      <w:r>
        <w:t>Rientrato in Italia, dal 16 novembre 2001 al 31 agosto 2017, il ricor- rente ha lavorato, come “maître d’hotel”, presso l’(…) di (…), in ragione di 39 ore alla settimana. Il contratto di lavoro è stato sciolto dall’insorgente per “dimissioni volontarie per pensionamento” (doc. UAIE 134 [questiona- rio per il datore di lavoro del 26 luglio 2021]). Quanto alle assenze per</w:t>
      </w:r>
    </w:p>
    <w:p>
      <w:r>
        <w:t>C-3623/2022 Pagina 15 causa di malattia, il datore di lavoro ha dichiarato che “gli ultimi certificati medici per malattia risalgono al periodo dal 11/02/2014 al 06/03/2014 e dal 03/06/2014 al 12/06/2014, poi fino al giorno delle dimissioni volontarie 31/08/2017 (ha dato le dimissioni per pensionamento) non ha fatto più nes- suna assenza per malattia” (doc. UAIE 135 [scritto di posta elettronica del 26 luglio 2021]).</w:t>
      </w:r>
    </w:p>
    <w:p>
      <w:r>
        <w:rPr>
          <w:b/>
        </w:rPr>
        <w:t>E. 10.4.4</w:t>
      </w:r>
    </w:p>
    <w:p>
      <w:r>
        <w:t>Ora, dagli atti di causa risulta certamente che il ricorrente è stato assente dal posto di lavoro per malattia, da ultimo dall’11 febbraio al 6 marzo 2014 e dal 3 al 12 giugno 2014. A partire dal 13 giugno 2014, ha continuato a svolgere la sua attività di maître d’hotel, senza aver dovuto assumere lavori più leggeri e senza essere più stato assente per malattia, fino al 31 agosto 2017, data delle sue dimissioni per pensionamento (v., sulla questione, anche la decisione dell’UAIE del 17 giugno 2022 [doc. UAIE 155 pag. 3]). Dal 1° settembre 2017, egli percepisce una pensione di vecchiaia italiana (doc. UAIE 65 pag. 3).</w:t>
      </w:r>
    </w:p>
    <w:p>
      <w:r>
        <w:rPr>
          <w:b/>
        </w:rPr>
        <w:t>E. 10.5.1</w:t>
      </w:r>
    </w:p>
    <w:p>
      <w:r>
        <w:t>Sennonché, secondo le informazioni fornite dal portale dell’Istituto nazionale della previdenza sociale (INPS), nel sistema italiano, la pensione di vecchiaia è una prestazione economica erogata, su richiesta, in favore dei lavoratori dipendenti e autonomi, iscritti all’Assicurazione Generale Ob- bligatoria (AGO), alla Gestione Separata e alle forme assicurative esclu- sive e sostitutive dell’AGO, in possesso dei requisiti anagrafici e contributivi previsti dalla legge (requisito anagrafico di 67 anni [da adeguare alla spe- ranza di vita dal 2027] e requisito contributivo di almeno 20 anni). Ai fini del conseguimento della pensione di vecchiaia è richiesta, fra gli altri, la ces- sazione del rapporto di lavoro dipendente (sito internet: www.inps.it/it/it/det- taglio-scheda.schede-servizio-strumento.schede-servizi.pensione-di-vec- chiaia.html; consultato il 12 aprile 2024, ultimo aggiornamento il 28 febbraio 2024).</w:t>
      </w:r>
    </w:p>
    <w:p>
      <w:r>
        <w:rPr>
          <w:b/>
        </w:rPr>
        <w:t>E. 10.5.2</w:t>
      </w:r>
    </w:p>
    <w:p>
      <w:r>
        <w:t>Ciò premesso, l’art. 1 comma 8 del Decreto Legislativo n. 503 del 30 dicembre 1992 – decreto mediante il quale è in particolare stato deciso che il diritto alla pensione di vecchiaia a carico dell’assicurazione generale obbligatoria era subordinato, dal 1° gennaio 2000, al compimento dell’età di 60 anni per le donne e di 65 anni per gli uomini (decreto a cui è fatto riferimento nel portale dell’INPS) – stabilisce che l’elevazione dei limiti di età (per il diritto alla pensione di vecchiaia) non si applica (ai lavoratori ri- conosciuti dall’INPS) invalidi in misura non inferiore all’80%. Per quest’ul- timi, secondo il portale dell’INPS, l’età pensionabile resta stabilita a 55 anni</w:t>
      </w:r>
    </w:p>
    <w:p>
      <w:r>
        <w:t>C-3623/2022 Pagina 16 se donne ad a 60 anni se uomini (con applicazione degli incrementi della speranza di vita e della “finestra mobile di 12 mesi; sito internet: www.inps.it/it/it/dettaglio-scheda.schede-servizio-strumento.schede-ser- vizi.pensione-di-vecchiaia.html; consultato il 12 aprile 2024, ultimo aggior- namento il 28 febbraio 2024).</w:t>
      </w:r>
    </w:p>
    <w:p>
      <w:r>
        <w:rPr>
          <w:b/>
        </w:rPr>
        <w:t>E. 10.5.3</w:t>
      </w:r>
    </w:p>
    <w:p>
      <w:r>
        <w:t>A tal proposito, la sentenza della Suprema Corte di Cassazione, Se- zione Civile VI, n. 11750/2015 del 21 aprile 2015 (sentenza prodotta in estratto dal ricorrente in sede di replica e che non si pronuncia su una ver- tenza concernente quest’ultimo [doc. TAF 18 doc. R1]) stabilisce che “il diritto a pensione anticipata di vecchiaia è invero riconosciuto dall’art. 1 comma 8 del d.lgs. n. 503/1992, in favore dei soggetti con una invalidità pari almeno all’80% (…) per i quali, quindi, l’età pensionabile resta stabilita a 55 anni, se donne, a 60 anni, se uomini. Non si tratta, dunque, di una pensione diretta di invalidità bensì di una anticipazione dei normali tempi di perfezionamento del diritto alla pensione (...) che consente, in presenza di una situazione di invalidità, una deroga ai limiti di età per il normale pen- sionamento. Lo stato di invalidità costituisce, dunque, solo la condizione, in presenza della quale è possibile acquisire il diritto al trattamento di vec- chiaia sulla base del requisito di età vigente prima dell’entrata in vigore del d. lgs. n. 503/1992, ma non può comportare lo snaturamento della presta- zione che rimane un trattamento diretto di vecchiaia (finanziato dallo stesso soggetto del rapporto assicurativo, sul quale gravano i contributi, e diretto a coprire i rischi derivanti dalla vecchiaia) ontologicamente diverso dai trat- tamenti diretti di invalidità (pure a carico dell’assicurazione generale obbli- gatoria e diretto a coprire i rischi derivanti, appunto dall’invalidità)”.</w:t>
      </w:r>
    </w:p>
    <w:p>
      <w:r>
        <w:rPr>
          <w:b/>
        </w:rPr>
        <w:t>E. 10.5.4</w:t>
      </w:r>
    </w:p>
    <w:p>
      <w:r>
        <w:t>Ora, nel caso in esame, non è dato sapere se il ricorrente – che ha cessato l’attività lavorativa il 31 agosto 2017 a seguito di dimissioni per pensionamento e che percepisce una pensione di vecchiaia italiana dal 1° settembre 2017 (anno in cui ha compiuto 60 anni) – ha potuto beneficiare del diritto alla pensione anticipata di vecchiaia, come riconosciuto dall’art. 1 comma 8 del decreto legislativo n. 503 del 30 dicembre 1992, poiché riconosciuto dall’INPS invalido almeno all’80%. L’UAIE avrebbe perlomeno potuto e dovuto contattare, fra l’altro, i medici curanti dell’insorgente rispet- tivamente il competente INPS alfine di accertare se, conformemente alle disposizioni di legge italiane, il medesimo era invalido almeno all’80% al 1° settembre 2017 e quindi ha interrotto l’attività lavorativa a causa del suo (precario) stato di salute. Avrebbe anche dovuto chiedere informazioni sul motivo per cui il ricorrente ha potuto beneficiare di una pensione di vec- chiaia all’età di 60 anni (vuoi perché invalido almeno all’80%, come ricono- sciuto dall’art. 1 comma 8 del decreto legislativo n. 503 del 30 dicembre</w:t>
      </w:r>
    </w:p>
    <w:p>
      <w:r>
        <w:t>C-3623/2022 Pagina 17 1992, vuoi perché in possesso dei requisiti anagrafici e contributivi previsti dalla legge italiana). Peraltro, può essere rilevato che il 29 novembre 2018 la Commissione INPS di (…) ha riconosciuto l’insorgente “invalido con to- tale e permanente inabilità lavorativa 100%” (v., sulla questione, la rela- zione medica dell’agosto 2019 [doc. UAIE 95]). Il Tribunale di (…) ha poi accolto la sua domanda di indennità di accompagnamento (ricorso del 22 agosto 2022 pag. 2). Secondo le informazioni fornite dal portale dell’INPS, l’indennità di accompagnamento è una prestazione economica, erogata a domanda, a favore dei soggetti mutilati o invalidi totali per i quali è stata accertata l’impossibilità di deambulare senza l’aiuto di un accompagnatore oppure l’incapacità di compiere gli atti quotidiani della vita (sito internet: www.inps.it/it/it/dettaglio-scheda.schede-servizio-strumento.schede-ser- vizi.pensione-di-vecchiaia.html; consultato il 12 aprile 2024, ultimo aggior- namento il 18 luglio 2023). Per il resto, e a seconda del risultato di tale istruttoria complementare, l’UAIE dovrà in particolare pronunciarsi sullo stato di salute e l’incidenza delle affezioni di cui soffriva l’insorgente sulla residua capacità lavorativa come pure sul momento in cui è intervenuto il peggioramento dello stato di salute dal profilo psichico nonché, a seconda del risultato di tale esame, sulla possibilità di attribuire al ricorrente una rendita d’invalidità svizzera (entro i limiti previsti dall’art. 30 LAI), non ap- parendo potersi escludere a priori la coesistenza tra una rendita d’invalidità svizzera ed una pensione di vecchiaia italiana (cfr. DTF 140 V 98 consid.</w:t>
      </w:r>
    </w:p>
    <w:p>
      <w:r>
        <w:rPr>
          <w:b/>
        </w:rPr>
        <w:t>E. 11</w:t>
      </w:r>
    </w:p>
    <w:p>
      <w:r>
        <w:t>Da quanto esposto, discende che la decisione impugnata, fondata su un insufficiente accertamento dei fatti giuridicamente rilevanti, viola il diritto federale ed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C-174/2019 del 24 luglio 2020 consid. 9.1 con rinvio). In particolare, esso si sostituirà all'auto- rità inferiore se gli atti sono completi e comunque sufficienti a statuire sull'applicazione del diritto federale (v. sentenza del TAF C-229/2023 del</w:t>
      </w:r>
    </w:p>
    <w:p>
      <w:r>
        <w:rPr>
          <w:b/>
        </w:rPr>
        <w:t>E. 12.2</w:t>
      </w:r>
    </w:p>
    <w:p>
      <w:r>
        <w:t>Occorre altresì rilevare che nell'ambito dell'accertamento ancora da esperire dall'autorità inferiore, a seguito del rinvio degli atti di causa, non sussiste l'eventualità di una nuova decisione dell’UAIE a detrimento dell’in- sorgente (v., sulla questione, DTF 137 V 314 consid. 3.2.4) dal momento che nella decisione impugnata del 17 giugno 2022 l'autorità inferiore ha considerato che non può essere versata alcuna rendita d’invalidità sviz- zera, ritenuto che nel momento in cui è insorto il danno alla salute, il ricor- rente non subiva alcuna perdita di guadagno, essendo già in pensione e percependo una pensione di vecchiaia italiana, ed ha respinto la domanda del medesimo volta all'ottenimento di una rendita dell'assicurazione sviz- zera per l'invalidità. 13. 13.1 Visto l’esito della procedura, non sono prelevate delle spese proces- suali (art. 63 PA). L’anticipo equivalente alle presunte spese processuali di fr. 800.-, corrisposto con versamenti del 23 dicembre 2022 e del 13 gennaio 2023, sarà restituito al ricorrente allorquando la presente sentenza sarà cresciuta in giudicato. 13.2 Ritenuto che l’insorgente è rappresentato in questa sede da manda- taria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13.2.1 Giusta l’art. 14 cpv. 1 TS-TAF, le parti che chiedono la rifusione di spese ripetibili devono presentare al Tribunale, prima della pronuncia della decisione, una nota particolareggiata delle spese. Se non viene prodotta,</w:t>
      </w:r>
    </w:p>
    <w:p>
      <w:r>
        <w:t>C-3623/2022 Pagina 19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 13.2.2 Secondo giurisprudenza, nell’ambito del suo potere di apprezza- 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 tibile di essere considerata, essa non può comprendere le azioni inutili o superflue. Inoltre, le iniziative intraprese prima della promozione della fase processuale non possono essere ritenute (sentenza del TF I 452/05 del 27 novembre 2006 consid. 5.5). 13.2.3 Nel caso concreto, con scritto del 13 luglio 2023, il ricorrente ha chiesto il riconoscimento dell’importo di fr. 3'055.45 a titolo di spese ripetibili (fr. 135.- quali spese e fr. 2'702.- quale onorario [9,65 ore alla tariffa oraria di fr. 280.-], oltre all’imposta sul valore aggiunto [di fr. 218.45]), secondo l’allegata nota d’onorario del proprio rappresentante (doc. TAF 23). 13.2.4 13.2.4.1 Per quanto attiene alla richiesta tariffa oraria per l'attività svolta dall'avvocato, va osservato che di regola è stata fissata da questo Tribu- nale una retribuzione oraria di fr. 250.- per l'attività svolta da un avvocato nell'ambito di procedure ricorsuali in materia d'assicurazione per l'invalidità (cfr., fra le tante, le sentenze del TAF C-4/2019 del 26 settembre 2019 con- sid. 8.6, C-5702/2018 del 4 giugno 2019 consid. 8.3.2 in fine, C-3771/2018 del 28 novembre 2018 consid. 10.2.5, C-1990/2014 del 22 marzo 2018 consid. 10.2.4, C-3280/2014 del 15 maggio 2017 consid. 6.2.2 e C- 6248/2011 del 25 luglio 2012 consid. 12.2.5). Non vi è motivo nel caso in esame di scostarsi dalla menzionata abituale tariffa oraria di fr. 250.-, la</w:t>
      </w:r>
    </w:p>
    <w:p>
      <w:r>
        <w:t>C-3623/2022 Pagina 20 parte ricorrente non avendo fornito alcuna particolare giustificazione per una tariffa oraria di fr. 280.-. 13.2.4.2 Peraltro, conto tenuto delle particolarità del caso si specie, che comunque non può essere ritenuto semplice perlomeno dal profilo del di- ritto, può essere ammesso per l’attività svolto in relazione alla presenta- zione del ricorso e del relativo scambio di scritti un dispendio orario com- plessivo di 9.65 ore, come fatto dalla rappresentante del ricorrente. 13.2.5 Sono altresì rimborsabili dei disborsi per fr. 135.-, come indicato nella nota d’onorario. 13.2.6 Infine, considerato che per prestazioni di rappresentanti fornite a persone domiciliate all’estero non è dovuta l’IVA, la stessa non può essere indennizzata (v., sulla questione, e fra le tante, le sentenze del TAF C- 1136/2021 del 23 dicembre 2022 consid. 13.2 con rinvio; C-1109/2017 del 15 maggio 2017 consid. 8.2 [l'IVA è per contro eccezionalmente dovuta in caso di ammissione del gratuito patrocinio conformemente alla sentenza del TF 6B_498/2014 del 9 settembre 2015; cfr. sentenza del TAF C- 1990/2014 del 22 marzo 2018 consid. 10.2.6]). 13.2.7 In conclusione, sulla base della nota d'onorario "moderata" in que- sta sede, le spese ripetibili a favore del ricorrente sono fissate in fr. 2'547.50 (9,65 ore [a fr. 250.- l'ora = fr. 2'412.50] per l'attività svolta e disborsi di fr. 135.-). L'indennità per ripetibili è posta a carico dell'UAIE.</w:t>
      </w:r>
    </w:p>
    <w:p>
      <w:r>
        <w:t>(dispositivo alla pagina seguente)</w:t>
      </w:r>
    </w:p>
    <w:p>
      <w:r>
        <w:t>C-3623/2022 Pagina 21</w:t>
      </w:r>
    </w:p>
    <w:p>
      <w:r>
        <w:rPr>
          <w:b/>
        </w:rPr>
        <w:t>E. 13.1</w:t>
      </w:r>
    </w:p>
    <w:p>
      <w:r>
        <w:t>Visto l'esito della procedura, non sono prelevate delle spese processuali (art. 63 PA). L'anticipo equivalente alle presunte spese processuali di fr. 800.-, corrisposto con versamenti del 23 dicembre 2022 e del 13 gennaio 2023, sarà restituito al ricorrente allorquando la presente sentenza sarà cresciuta in giudicato.</w:t>
      </w:r>
    </w:p>
    <w:p>
      <w:r>
        <w:rPr>
          <w:b/>
        </w:rPr>
        <w:t>E. 13.2</w:t>
      </w:r>
    </w:p>
    <w:p>
      <w:r>
        <w:t>Ritenuto che l'insorgente è rappresentato in questa sede da mandataria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w:t>
      </w:r>
    </w:p>
    <w:p>
      <w:r>
        <w:rPr>
          <w:b/>
        </w:rPr>
        <w:t>E. 13.2.1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w:t>
      </w:r>
    </w:p>
    <w:p>
      <w:r>
        <w:rPr>
          <w:b/>
        </w:rPr>
        <w:t>E. 13.2.2</w:t>
      </w:r>
    </w:p>
    <w:p>
      <w:r>
        <w:t>Secondo giurisprudenza, nell'ambito del suo potere di apprezzamento,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(sentenza del TF I 452/05 del 27 novembre 2006 consid. 5.5).</w:t>
      </w:r>
    </w:p>
    <w:p>
      <w:r>
        <w:rPr>
          <w:b/>
        </w:rPr>
        <w:t>E. 13.2.3</w:t>
      </w:r>
    </w:p>
    <w:p>
      <w:r>
        <w:t>Nel caso concreto, con scritto del 13 luglio 2023, il ricorrente ha chiesto il riconoscimento dell'importo di fr. 3'055.45 a titolo di spese ripetibili (fr. 135.- quali spese e fr. 2'702.- quale onorario [9,65 ore alla tariffa oraria di fr. 280.-], oltre all'imposta sul valore aggiunto [di fr. 218.45]), secondo l'allegata nota d'onorario del proprio rappresentante (doc. TAF 23).</w:t>
      </w:r>
    </w:p>
    <w:p>
      <w:r>
        <w:rPr>
          <w:b/>
        </w:rPr>
        <w:t>E. 13.2.4.1</w:t>
      </w:r>
    </w:p>
    <w:p>
      <w:r>
        <w:t>Per quanto attiene alla richiesta tariffa oraria per l'attività svolta dall'avvocato, va osservato che di regola è stata fissata da questo Tribunale una retribuzione oraria di fr. 250.- per l'attività svolta da un avvocato nell'ambito di procedure ricorsuali in materia d'assicurazione per l'invalidità (cfr., fra le tante, le sentenze del TAF C-4/2019 del 26 settembre 2019 consid. 8.6, C-5702/2018 del 4 giugno 2019 consid. 8.3.2 in fine, C-3771/2018 del 28 novembre 2018 consid. 10.2.5, C-1990/2014 del 22 marzo 2018 consid. 10.2.4, C-3280/2014 del 15 maggio 2017 consid. 6.2.2 e C- 6248/2011 del 25 luglio 2012 consid. 12.2.5). Non vi è motivo nel caso in esame di scostarsi dalla menzionata abituale tariffa oraria di fr. 250.-, la parte ricorrente non avendo fornito alcuna particolare giustificazione per una tariffa oraria di fr. 280.-.</w:t>
      </w:r>
    </w:p>
    <w:p>
      <w:r>
        <w:rPr>
          <w:b/>
        </w:rPr>
        <w:t>E. 13.2.4.2</w:t>
      </w:r>
    </w:p>
    <w:p>
      <w:r>
        <w:t>Peraltro, conto tenuto delle particolarità del caso si specie, che comunque non può essere ritenuto semplice perlomeno dal profilo del diritto, può essere ammesso per l'attività svolto in relazione alla presentazione del ricorso e del relativo scambio di scritti un dispendio orario complessivo di 9.65 ore, come fatto dalla rappresentante del ricorrente.</w:t>
      </w:r>
    </w:p>
    <w:p>
      <w:r>
        <w:rPr>
          <w:b/>
        </w:rPr>
        <w:t>E. 13.2.5</w:t>
      </w:r>
    </w:p>
    <w:p>
      <w:r>
        <w:t>Sono altresì rimborsabili dei disborsi per fr. 135.-, come indicato nella nota d'onorario.</w:t>
      </w:r>
    </w:p>
    <w:p>
      <w:r>
        <w:rPr>
          <w:b/>
        </w:rPr>
        <w:t>E. 13.2.6</w:t>
      </w:r>
    </w:p>
    <w:p>
      <w:r>
        <w:t>Infine, considerato che per prestazioni di rappresentanti fornite a persone domiciliate all'estero non è dovuta l'IVA, la stessa non può essere indennizzata (v., sulla questione, e fra le tante, le sentenze del TAF C- 1136/2021 del 23 dicembre 2022 consid. 13.2 con rinvio; C-1109/2017 del 15 maggio 2017 consid. 8.2 [l'IVA è per contro eccezionalmente dovuta in caso di ammissione del gratuito patrocinio conformemente alla sentenza del TF 6B_498/2014 del 9 settembre 2015; cfr. sentenza del TAF C- 1990/2014 del 22 marzo 2018 consid. 10.2.6]).</w:t>
      </w:r>
    </w:p>
    <w:p>
      <w:r>
        <w:rPr>
          <w:b/>
        </w:rPr>
        <w:t>E. 13.2.7</w:t>
      </w:r>
    </w:p>
    <w:p>
      <w:r>
        <w:t>In conclusione, sulla base della nota d'onorario "moderata" in questa sede, le spese ripetibili a favore del ricorrente sono fissate in fr. 2'547.50 (9,65 ore [a fr. 250.- l'ora = fr. 2'412.50] per l'attività svolta e disborsi di fr. 135.-). L'indennità per ripetibili è posta a carico dell'UAIE. (dispositivo alla pagina seguente)</w:t>
      </w:r>
    </w:p>
    <w:p>
      <w:r>
        <w:rPr>
          <w:b/>
        </w:rPr>
        <w:t>E. 16</w:t>
      </w:r>
    </w:p>
    <w:p>
      <w:r>
        <w:t>febbraio 2024 consid. 9 con rinvii). Tale non è il caso nella presente fattispecie dal momento che l'autorità inferiore dovrà completare l'istruttoria di causa alfine di potere poi statuire con cognizione di causa sulla domanda</w:t>
      </w:r>
    </w:p>
    <w:p>
      <w:r>
        <w:t>C-3623/2022 Pagina 18 di rendita di invalidità svizzera dell’insorgente, fermo restando che qualora questo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 gnatamente della violazione del principio inquisitorio da parte dell'autorità inferiore e della conseguente sommaria constatazione dei fatti, non vi è ragione di fare (sentenza del TF 9C_162/2007 consid. 2.3 e relativi riferi- menti). Gli atti di causa sono pertanto rinviati all'autorità inferiore affinché la stessa proceda a completare l'accertamento dei fatti giuridicamente rile- vanti nonché a pronunciare una nuova decisione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