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C-361/2023 vom 22. Juni 2023</w:t>
      </w:r>
    </w:p>
    <w:p>
      <w:r>
        <w:t>Bundesverwaltungsgericht, 2023-06-22, DE</w:t>
      </w:r>
    </w:p>
    <w:p>
      <w:r>
        <w:rPr>
          <w:b/>
        </w:rPr>
        <w:t xml:space="preserve">Quelle: </w:t>
      </w:r>
      <w:r>
        <w:t>https://mcp.opencaselaw.ch/entscheid/bvger_C-361_2023</w:t>
      </w:r>
    </w:p>
    <w:p>
      <w:r>
        <w:t>FR: TAF C-361/2023 du 22 juin 2023</w:t>
      </w:r>
    </w:p>
    <w:p>
      <w:r>
        <w:t>IT: TAF C-361/2023 del 22 giugno 2023</w:t>
      </w:r>
    </w:p>
    <w:p>
      <w:pPr>
        <w:pStyle w:val="Heading2"/>
      </w:pPr>
      <w:r>
        <w:t>Regeste</w:t>
      </w:r>
    </w:p>
    <w:p>
      <w:r>
        <w:t>Rente</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Aufgrund von Art. 3 lit. dbis VwVG findet das VwVG keine Anwendung in Sozialversicherungsrechtssachen, soweit das ATSG (SR 830.1) an- wendbar ist. Gemäss Art. 1 Abs. 1 AHVG sind die Bestimmungen des</w:t>
      </w:r>
    </w:p>
    <w:p>
      <w:r>
        <w:t>C-361/2023 Seite 4 ATSG auf die im ersten Teil geregelte Alters- und Hinterlassenenversiche- rung anwendbar, soweit das AHVG nicht ausdrücklich eine Abweichung vom ATSG vorsieht.</w:t>
      </w:r>
    </w:p>
    <w:p>
      <w:r>
        <w:rPr>
          <w:b/>
        </w:rPr>
        <w:t>E. 1.3</w:t>
      </w:r>
    </w:p>
    <w:p>
      <w:r>
        <w:t>Der Beschwerdeführer ist durch den angefochtenen Einspracheent- scheid berührt und hat ein schutzwürdiges Interesse an dessen Aufhebung oder Änderung, so dass er im Sinne von Art. 59 ATSG beschwerdelegiti- miert ist.</w:t>
      </w:r>
    </w:p>
    <w:p>
      <w:r>
        <w:rPr>
          <w:b/>
        </w:rPr>
        <w:t>E. 1.4</w:t>
      </w:r>
    </w:p>
    <w:p>
      <w:r>
        <w:t>Da die Beschwerde im Übrigen frist- und formgerecht (Art. 60 Abs. 1 ATSG und Art. 52 Abs. 1 VwVG) eingereicht wurde, ist auf die Beschwerde einzutreten.</w:t>
      </w:r>
    </w:p>
    <w:p>
      <w:r>
        <w:rPr>
          <w:b/>
        </w:rPr>
        <w:t>E. 2</w:t>
      </w:r>
    </w:p>
    <w:p>
      <w:r>
        <w:t>Vorab sind die zur Beurteilung der vorliegenden Beschwerde massgeben- den gesetzlichen Grundlagen und die dazu von der Rechtsprechung ent- wickelten Grundsätze darzulegen.</w:t>
      </w:r>
    </w:p>
    <w:p>
      <w:r>
        <w:rPr>
          <w:b/>
        </w:rPr>
        <w:t>E. 2.1</w:t>
      </w:r>
    </w:p>
    <w:p>
      <w:r>
        <w:t>Der Beschwerdeführer ist Staatsangehöriger eines Mitgliedsstaates der Europäischen Gemeinschaft, so dass vorliegend das am 1. Juni 2002 in Kraft getretene Abkommen vom 21. Juni 1999 zwischen der Schweize- rischen Eidgenossenschaft einerseits und der Europäischen Gemeinschaft und ihren Mitgliedstaaten andererseits über die Freizügigkeit (Freizügig- keitsabkommen; FZA; SR 0.142.112.681) anzuwenden ist, welches die verschiedenen bis dahin geltenden bilateralen Abkommen zwischen der Schweizerischen Eidgenossenschaft und den einzelnen Mitgliedsstaaten der Europäischen Gemeinschaft insoweit absetzt, als darin derselbe Sach- bereich geregelt wird (Art. 20 FZA). Soweit dieses Abkommen, insbeson- dere dessen Anhang II, der die Koordinierung der Systeme der sozialen Sicherheit regelt (Art. 8 FZA), keine abweichenden Bestimmungen vor- sieht, ist mangels einer einschlägigen gemeinschaftsrechtlichen bzw. ab- 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 spruch des Beschwerdeführers gemäss Art. 3 Abs. 1 der Koordinierungs- verordnung (EWG) Nr. 1408/71 (SR 0.831.109.268.1) grundsätzlich nach den für schweizerische Staatsangehörige geltenden Regeln zu beurteilen haben.</w:t>
      </w:r>
    </w:p>
    <w:p>
      <w:r>
        <w:t>C-361/2023 Seite 5</w:t>
      </w:r>
    </w:p>
    <w:p>
      <w:r>
        <w:rPr>
          <w:b/>
        </w:rPr>
        <w:t>E. 2.2</w:t>
      </w:r>
    </w:p>
    <w:p>
      <w:r>
        <w:t>In zeitlicher Hinsicht sind grundsätzlich diejenigen materiellen Rechts- sätze massgebend, die bei der Erfüllung des zu Rechtsfolgen führenden Tatbestandes Geltung hatten (BGE 130 V 329 E. 2.3). Die Frage, ob die Rückforderungsverfügung korrekt erlassen wurde, beurteilt sich nach den im Zeitpunkt der Rückforderungsverfügung geltenden Bestimmungen.</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Unangemessenheit des Ent- scheids rügen (Art. 49 VwVG).</w:t>
      </w:r>
    </w:p>
    <w:p>
      <w:r>
        <w:rPr>
          <w:b/>
        </w:rPr>
        <w:t>E. 3</w:t>
      </w:r>
    </w:p>
    <w:p>
      <w:r>
        <w:t>Vorliegend ist strittig und vom Bundesverwaltungsgericht zu prüfen, ob die SAK die Rente des Beschwerdeführers korrekt berechnet hat.</w:t>
      </w:r>
    </w:p>
    <w:p>
      <w:r>
        <w:rPr>
          <w:b/>
        </w:rPr>
        <w:t>E. 3.1</w:t>
      </w:r>
    </w:p>
    <w:p>
      <w:r>
        <w:t>Anspruch auf eine ordentliche Alters- oder Hinterlassenenrente haben die rentenberechtigten Personen, denen für mindestens ein volles Jahr Einkommen, Erziehungs- oder Betreuungsgutschriften angerechnet wer- den können, oder ihre Hinterlassenen (Art. 29 Abs. 1 AHVG). Ein volles Beitragsjahr liegt gemäss Art. 50 Abs. 1 AHVV vor, wenn eine Person ins- gesamt länger als elf Monate im Sinne von Art. 1a oder 2 AHVG versichert war und während dieser Zeit den Mindestbeitrag bezahlt hat oder Beitrags- zeiten im Sinne von Art. 29ter Abs. 2 lit. b und c AHVG aufweist.</w:t>
      </w:r>
    </w:p>
    <w:p>
      <w:r>
        <w:rPr>
          <w:b/>
        </w:rPr>
        <w:t>E. 3.1.1</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 chenden Beiträge der Ausgleichskasse nicht entrichtet hat. Die gleiche Ordnung gilt auch dann, wenn Arbeitgeber und Arbeitnehmer eine Netto- lohnvereinbarung getroffen haben, das heisst wenn der Arbeitgeber sämt- liche Beiträge zu seinen Lasten übernimmt. Diese beiden Sondertatbe- stände müssen aber einwandfrei nachgewiesen sein. Ist der Nachweis nicht erbracht, dass der Arbeitgeber tatsächlich die Beiträge vom Lohn sei- nes Arbeitnehmers abgezogen hat, oder lässt sich eine behauptete Netto- lohnvereinbarung nicht eindeutig feststellen, so dürfen die entsprechenden Einkommen nicht ins individuelle Konto eingetragen werden (BGE 117 V 261 E. 3a mit Hinweisen).</w:t>
      </w:r>
    </w:p>
    <w:p>
      <w:r>
        <w:t>C-361/2023 Seite 6</w:t>
      </w:r>
    </w:p>
    <w:p>
      <w:r>
        <w:rPr>
          <w:b/>
        </w:rPr>
        <w:t>E. 3.1.2</w:t>
      </w:r>
    </w:p>
    <w:p>
      <w:r>
        <w:t>Der Versicherte hat das Recht, bei jeder Ausgleichskasse, die für ihn ein individuelles Konto führt, einen Auszug über die darin gemachten Ein- 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 scheinlichkeit ein, indem der volle Beweis verlangt wird. Allerdings soll dies nicht heissen, dass die Untersuchungsmaxime nicht gilt und der Versi- 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3.1.3</w:t>
      </w:r>
    </w:p>
    <w:p>
      <w:r>
        <w:t>Gemäss Definition gilt eine Tatsache als bewiesen und der volle Be- weis als erbracht, wenn die Behörde von deren Vorhandensein derart über- zeugt ist, dass das Gegenteil als unwahrscheinlich erscheint (vgl. ALFRED KÖLZ/ISABELLE HÄNER/MARTIN BERTSCHI, Verwaltungsverfahren und Ver- waltungsrechtspflege des Bundes, 3. Auflage, Zürich 2013, S. 169 f.). Wie dieser Beweis erbracht werden muss, ist nicht vorgeschrieben.</w:t>
      </w:r>
    </w:p>
    <w:p>
      <w:r>
        <w:rPr>
          <w:b/>
        </w:rPr>
        <w:t>E. 3.2.1</w:t>
      </w:r>
    </w:p>
    <w:p>
      <w:r>
        <w:t>Der Beschwerdeführer macht geltend, er habe von Dezember 1974 bis Mai 1975 im B._______ in (…) gearbeitet, weshalb ihm auch für diese Zeit entsprechende Beitragszeiten respektive Einkommen anzurechnen seien. Als Beleg reicht der Beschwerdeführer ein Arbeitszeugnis vom 1. Mai 1975 ein.</w:t>
      </w:r>
    </w:p>
    <w:p>
      <w:r>
        <w:rPr>
          <w:b/>
        </w:rPr>
        <w:t>E. 3.2.2</w:t>
      </w:r>
    </w:p>
    <w:p>
      <w:r>
        <w:t>Die Vorinstanz stellte sich auf den Standpunkt, dass sie trotz Nach- forschungen bei diversen Ausgleichskassen und bei der Einwohnerkon- trolle keine Hinweise auf weitere Beitragszeiten, als diejenigen, die bereits im IK erfasst waren, in Erfahrung bringen konnte. Das Zeugnis des B._______ sei zwar geeignet, die geltend gemachte Beitragszeit nachzu- weisen, indes fehle jedoch ein Beleg für die Höhe des Einkommens res- pektive der geleisteten Beiträge.</w:t>
      </w:r>
    </w:p>
    <w:p>
      <w:r>
        <w:t>C-361/2023 Seite 7</w:t>
      </w:r>
    </w:p>
    <w:p>
      <w:r>
        <w:rPr>
          <w:b/>
        </w:rPr>
        <w:t>E. 3.2.3</w:t>
      </w:r>
    </w:p>
    <w:p>
      <w:r>
        <w:t>Dem IK ist zu entnehmen, dass der Beschwerdeführer von November 1973 bis Mai 1974 und dann von Juni bis August 1975 und wieder von Mai bis Oktober 1978 Beiträge geleistet hat. Es sind somit 16 anrechenbare Beitragsmonate belegt. Aus den vorhandenen Unterlagen ergeben sich zwar Hinweise für weitere Beitragszeiten (Dezember 1974 bis Mai 1975, gemäss Zeugnis B._______ [SAK-act. 5]), aber es bleibt unklar, in welcher Höhe allfällige Beiträge anzurechnen wären, da weder ein Arbeitsvertrag noch Lohnabrechnungen vorhanden sind, aus denen der ausbezahlte Lohn ersichtlich wäre. Wie erwähnt ist für die Korrektur eines IK erforderlich, dass der behauptete Sachverhalt nachgewiesen ist, sofern die Unrichtigkeit nicht offenkundig ist. In casu ist die Unrichtigkeit des IK nicht offenkundig, weshalb der Ein- trag nur durch den Nachweis eines anderen Sachverhalts korrigiert werden kann. Obwohl die Vorinstanz bei der zuständigen Ausgleichskasse nach- gefragt hat, konnten für den Beschwerdeführer für die fragliche Zeit keine weiteren Beitragszahlungen festgestellt werden. Der SAK ist nicht vorzu- werfen, sie habe den Sachverhalt ungenügend abgeklärt, holte sie doch ihrerseits bei der Ausgleichskasse sowie beim Einwohneramt Auskünfte ein, woraus sich jedoch nichts zu Gunsten des Beschwerdeführers ableiten liess. Ausserdem hat die Vorinstanz den Beschwerdeführer mit Schreiben vom 14. September 2022 (SAK-act. 35) aufgefordert, für die strittigen Bei- tragszeiten im Zeitraum vom 1. Dezember 1974 bis zum 1. Mai 1975 wei- tere Belege, namentlich Lohnausweise, -abrechnungen oder Arbeitsver- träge einzureichen. Dieser Aufforderung ist der Beschwerdeführer nicht nachgekommen. Als Ergebnis ist somit festzuhalten, dass sich den Akten keine Hinweise entnehmen lassen, dass die SAK die Beitragszeiten respektive die Bei- träge nicht korrekt festgestellt hätte. Auch der Beschwerdeführer konnte für weitere Beitragszeiten keine Belege beibringen. Daher ist auf die Feststel- lungen der Vorinstanz respektive auf die Einträge im IK abzustellen. Die Anrechnung von weiteren Beitragsmonaten ohne entsprechende Einkom- men wäre, wie die Vorinstanz zutreffend ausgeführt hat, zum Nachteil des Beschwerdeführers, da dies zu einer Verminderung des anrechenbaren durchschnittlichen Einkommens führen würde. Dem Beschwerdeführer sind somit in Übereinstimmung mit den Feststellungen der Vorinstanz 1 Jahr und 4 Monate Beitragszeit anzurechnen. Die angerechneten und aufgewerteten Einkommen und die anwendbare Rentenskala wurden ebenso korrekt festgestellt, sodass die zugesprochene Rente nicht zu be- anstanden ist. Der angefochtene Einspracheentscheid ist zu bestätigen,</w:t>
      </w:r>
    </w:p>
    <w:p>
      <w:r>
        <w:t>C-361/2023 Seite 8 und die Beschwerde ist im einzelrichterlichen Verfahren gemäss Art. 85bis Abs. 3 AHVG abzuweisen.</w:t>
      </w:r>
    </w:p>
    <w:p>
      <w:r>
        <w:rPr>
          <w:b/>
        </w:rPr>
        <w:t>E. 4</w:t>
      </w:r>
    </w:p>
    <w:p>
      <w:r>
        <w:t>Zu befinden bleibt noch über die Verfahrenskosten und eine allfällige Par- teientschädigung.</w:t>
      </w:r>
    </w:p>
    <w:p>
      <w:r>
        <w:rPr>
          <w:b/>
        </w:rPr>
        <w:t>E. 4.1</w:t>
      </w:r>
    </w:p>
    <w:p>
      <w:r>
        <w:t>Das Verfahren ist bei Streitigkeiten über Leistungen kostenlos (vgl. Art. 85bis Abs. 2 AHVG in der seit 1. Januar 2021 in Kraft stehenden Fas- sung),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 hörde ist der SAK jedoch keine Parteientschädigung zuzusprechen (Art. 7 Abs. 3 des Reglements vom 21. Februar 2008 über die Kosten und Ent- schädigungen vor dem Bundesverwaltungsgericht [VGKE, SR 173.320.2]). Dem unterliegenden Beschwerdeführer ist ebenso wenig eine Parteient- schädigung zuzusprechen (Art. 64 Abs. 1 VwVG e contrario).</w:t>
      </w:r>
    </w:p>
    <w:p>
      <w:r>
        <w:t>C-361/2023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