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C-3619/2012 vom 13. März 2013</w:t>
      </w:r>
    </w:p>
    <w:p>
      <w:r>
        <w:t>Bundesverwaltungsgericht, 2013-03-13, IT</w:t>
      </w:r>
    </w:p>
    <w:p>
      <w:r>
        <w:rPr>
          <w:b/>
        </w:rPr>
        <w:t xml:space="preserve">Quelle: </w:t>
      </w:r>
      <w:r>
        <w:t>https://mcp.opencaselaw.ch/entscheid/bvger_C-3619_2012</w:t>
      </w:r>
    </w:p>
    <w:p>
      <w:r>
        <w:t>FR: TAF C-3619/2012 du 13 mars 2013</w:t>
      </w:r>
    </w:p>
    <w:p>
      <w:r>
        <w:t>IT: TAF C-3619/2012 del 13 marzo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e nello spazio Schengen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 Accordo del 21 giugno 1999 tra la Confederazione Svizzera, da una parte, e la Comunità europea ed i suoi Stati membri, dall'altra, sulla libera circolazione delle persone [ALC, RS 0.142.112.681]).</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DTAF 2011/43 consid. 6).</w:t>
      </w:r>
    </w:p>
    <w:p>
      <w:r>
        <w:rPr>
          <w:b/>
        </w:rPr>
        <w:t>E. 3.1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Cost. (cfr. anche DTF 127 I 133 consid. 6 e 109 Ib 246 consid. 4a e le sentenze del TAF C-4447/2008 del 15 mar­zo 2010 consid. 3.1 e C-3061/2009 del 17 febbraio 2010 consid. 2.1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nel caso di una modifica del diritto oggettivo, rispettivamente un cambiamento di legislazione la quale comporta una modifica considerevole delle circostanze (cfr. sentenza del TAF D-5897/2006 del 12 gennaio 2010 consid. 2.2).</w:t>
      </w:r>
    </w:p>
    <w:p>
      <w:r>
        <w:rPr>
          <w:b/>
        </w:rPr>
        <w:t>E. 3.2</w:t>
      </w:r>
    </w:p>
    <w:p>
      <w:r>
        <w:t>La procedura straordinaria (di revisione o di riesame) non deve co­munque essere un mezzo per aggirare i termini di ricorso o continuare a rimettere in discussione una decisione cresciuta in giudicato (cfr. DTF 127, 120 e 109 precitati,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3.3</w:t>
      </w:r>
    </w:p>
    <w:p>
      <w:r>
        <w:t>In concreto l'autorità inferiore è entrata nel merito della domanda di riesame, ha effettuato un esame materiale ed ha emesso una nuova decisione. Il Tribunale dispone perciò di piena cognizione per determinare se il divieto d'entrata è tuttora conforme al diritto federale. Per contro, la questione di sapere se la decisione originaria era giustificata non è più oggetto della presente procedura (cfr. DTAF 2008/24 consid. 2.2 e riferimenti ivi citati).</w:t>
      </w:r>
    </w:p>
    <w:p>
      <w:r>
        <w:rPr>
          <w:b/>
        </w:rPr>
        <w:t>E. 4</w:t>
      </w:r>
    </w:p>
    <w:p>
      <w:r>
        <w:t>L'entrata in vigore, il 1° gennaio 2008, della legge federale sugli stranieri del 16 dicembre 2005 (LStr, RS 142.20) ha comportato l'abrogazione della LDDS conformemente all'art. 125 LStr in relazione con la cifra I dell'allegato 2 e delle relative ordinanze d'esecuzione di cui all'art. 91 dell'ordinanza del 24 ottobre 2007 sull'ammissione, il soggiorno e l'attività lucrativa (OASA, RS 142.201).</w:t>
      </w:r>
    </w:p>
    <w:p>
      <w:r>
        <w:rPr>
          <w:b/>
        </w:rPr>
        <w:t>E. 4.1</w:t>
      </w:r>
    </w:p>
    <w:p>
      <w:r>
        <w:t>A partire dal 12 dicembre 2008 sono entrati in vigore gli accordi inerenti alla normativa Schengen. In seguito allo sviluppo dell'acquis di Schengen, con effetto a decorrere dal 1° gennaio 2011, l'art. 67 LStr, il quale disciplina il divieto d'entrata, è stato ulteriormente modificato (cfr. nei dettagli RU 2010 5925 e FF 2009 7737).</w:t>
      </w:r>
    </w:p>
    <w:p>
      <w:r>
        <w:rPr>
          <w:b/>
        </w:rPr>
        <w:t>E. 4.2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Qualora il nuovo diritto deve essere applicato ad una fattispecie che, come nella presente causa, è iniziata prima della sua entrata in vigore ma esplica a tutt'oggi i suoi effetti, si è in presenza di un'applicazione della legge con effetto retroattivo in senso improprio, la quale, riservato il principio della buona fede, è in linea generale ammissibile (cfr. Ulrich Häfelin / Georg Müller / Felix Uhlmann, Allgemeines Verwaltungsrecht, 5a ed., Zurigo/Basilea/San Gallo 2006, cifra 337 segg. e anche sentenza del TAF C-2482/2009 del 28 gennaio 2010 e DTAF 2009/3 consid. 3.2). In concreto ne discende che, alla presente causa, il nuovo diritto è applicabile, essendo il divieto d'entrata emanato nei confronti del ricorrente tuttora effettivo.</w:t>
      </w:r>
    </w:p>
    <w:p>
      <w:r>
        <w:rPr>
          <w:b/>
        </w:rPr>
        <w:t>E. 4.4</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4.5</w:t>
      </w:r>
    </w:p>
    <w:p>
      <w:r>
        <w:t>Concernente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4.6</w:t>
      </w:r>
    </w:p>
    <w:p>
      <w:r>
        <w:t>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5</w:t>
      </w:r>
    </w:p>
    <w:p>
      <w:r>
        <w:t>Il ricorrente è di nazionalità italiana, di conseguenza nella valutazione della presente causa è necessario tenere conto delle disposizioni dell'ALC. La LStr è applicabile solo se l'Accordo non contiene disposizioni derogatorie o se la legge precitata prevede disposizioni più favorevoli (cfr. art. 2 cpv. 2 LStr).</w:t>
      </w:r>
    </w:p>
    <w:p>
      <w:r>
        <w:rPr>
          <w:b/>
        </w:rPr>
        <w:t>E. 5.1</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par. 2 allegato I ALC in relazione con l'art. 16 par. 2 ALC; DTF 136 II 5 consid. 4.1., DTF 131 II 352 consid. 3.1., DTF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5.3</w:t>
      </w:r>
    </w:p>
    <w:p>
      <w:r>
        <w:t>In particolare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pag. 222, DTF 125 II 521 consid. 4a/aa pag. 526 seg.).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 b, ch. 1).</w:t>
      </w:r>
    </w:p>
    <w:p>
      <w:r>
        <w:rPr>
          <w:b/>
        </w:rPr>
        <w:t>E. 6.1</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DTF 130 II 176 consid. 3.4.1, cfr. anche la sentenza del Tribunale federale 2C_664/2009 precitata consid. 4.1 e le sentenze CGCE ivi citate).</w:t>
      </w:r>
    </w:p>
    <w:p>
      <w:r>
        <w:rPr>
          <w:b/>
        </w:rPr>
        <w:t>E. 6.2</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Dagli atti di causa si evince che l'interessato è stato condannato nel febbraio del 2004 dalla Corte delle assise correzionali, per infrazione parzialmente aggravata e contravvenzione alla LStup, in particolare per avere veduto 1661 grammi di cocaina, fatto i preparativi per l'acquisto di 10 grammi di cocaina, venduto 15 pastiglie di ecstasy, nonché aver offerto 5 grammi di cocaina, consumato 200 grammi di cocaina e 150 grammi di marijuana come pure aver detenuto 0.5 grammi di cocaina destinata ad uso personale, nel periodo tra il settembre 2002 e l'agosto 2003, alla pena di 2 anni e 3 mesi di detenzione, all'espulsione dal territorio svizzero per 3 anni e al pagamento di una tassa di giustizia di fr. 300.- nonché al pagamento delle spese processuali. Relativamente alla condanna, i giudici penali hanno riconosciuto una lieve scemata responsabilità dell'interessato. Dagli atti di causa prodotti si evince inoltre che il ricorrente non ha più subito alcuna condanna penale (cfr. certificato penale del casellario giudiziale italiano del 30 marzo 2012; casellario giudiziale certificato carichi pendenti italiano del 3 aprile 2012).</w:t>
      </w:r>
    </w:p>
    <w:p>
      <w:r>
        <w:rPr>
          <w:b/>
        </w:rPr>
        <w:t>E. 7.2</w:t>
      </w:r>
    </w:p>
    <w:p>
      <w:r>
        <w:t>La decisione su riesame deve riferirsi alla situazione posteriore alla decisione su ricorso emanata dal DFGP del 7 novembre 2005. Nella fattispecie gli atti delittuosi risalgono al 2002/2003, e da allora l'interessato non ha più dato adito a lagnanza alcuna (vedi casellari giudiziali italiani agli atti). Inoltre il Tribunale rileva che A._______ è attualmente titolare di un'impresa artigiana attiva nella posa di porte, finestre, strutture speciali, imposte in pvc, alluminio e legno come pure attiva in lavori edili e di ristrutturazione, e ciò dal 16 novembre 2009 (cfr. visura storica della Camera di commercio industria artigianato e agricoltura di ... del 4 aprile 2004). Il Tribunale sottolinea infine che il ricorrente, sposandosi nel luglio del 2008 con una cittadina Ucraina, dalla cui unione è nata una figlia nel marzo del 2012, ha costituito un nucleo famigliare (cfr. certificato di stato di famiglia del 21 aprile 2012).</w:t>
      </w:r>
    </w:p>
    <w:p>
      <w:r>
        <w:rPr>
          <w:b/>
        </w:rPr>
        <w:t>E. 8</w:t>
      </w:r>
    </w:p>
    <w:p>
      <w:r>
        <w:t>A fronte di quanto sopra, il presente Tribunale ritiene che i fatti perpetrati dal ricorrente sono oggettivamente gravi - anche in ottica del'ALC - tenuto conto in particolare dei beni giuridici toccati segnatamente la salute pubblica, con la violazione dalla LStup. Tuttavia va sottolineato che l'istruttoria non ha permesso di determinare elementi che permettono di considerare il ricorrente una minaccia effettiva, attuale e sufficientemente grave tale da legittimare una misura di ordine pubblico giusta l'art. 5 Allegato I ALC (cfr. sentenza del Tribunale federale 2C_375/2007 dell'8 novembre 2007). Se è pur vero che la sola condotta tenuta in passato può costituire una siffatta minaccia per l'ordine e la sicurezza pubblici, la ponderazione degli elementi in causa in particolare l'assenza di recidiva, l'attività lucrativa stabile, il nucleo famigliare costituito e tenuto presente il principio di libera circolazione delle persone, convincono questo Tribunale che il mantenimento del divieto d'entrata non è più giustificato.</w:t>
      </w:r>
    </w:p>
    <w:p>
      <w:r>
        <w:rPr>
          <w:b/>
        </w:rPr>
        <w:t>E. 9</w:t>
      </w:r>
    </w:p>
    <w:p>
      <w:r>
        <w:t>Ne consegue che la decisione dell'UFM è annullata, il ricorso del ricorrente è accolto ed il divieto d'entrata revocato con effetto dalla data della presente sentenza.</w:t>
      </w:r>
    </w:p>
    <w:p>
      <w:r>
        <w:rPr>
          <w:b/>
        </w:rPr>
        <w:t>E. 10</w:t>
      </w:r>
    </w:p>
    <w:p>
      <w:r>
        <w:t>Visto l'esito della procedura non si prelevano spese processuali (art. 63 cpv. 2 PA). Giusta l'art. 64 cpv. 1 PA in relazione con l'art. 7 cpv. 2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Ne discende che A._______ - patrocinato da un legale - ha diritto al versamento di fr. 1'500.--, in ragione dell'insieme delle circostanze della fattispecie, della sua difficoltà, nonché della mole di lavoro svolto dal rappresentante, a titolo di spese ripetibili (cfr. art. 8 segg.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