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C-3611/2014 vom 3. Mai 2017</w:t>
      </w:r>
    </w:p>
    <w:p>
      <w:r>
        <w:t>Bundesverwaltungsgericht, 2017-05-03, IT</w:t>
      </w:r>
    </w:p>
    <w:p>
      <w:r>
        <w:rPr>
          <w:b/>
        </w:rPr>
        <w:t xml:space="preserve">Quelle: </w:t>
      </w:r>
      <w:r>
        <w:t>https://mcp.opencaselaw.ch/entscheid/bvger_C-3611_2014</w:t>
      </w:r>
    </w:p>
    <w:p>
      <w:r>
        <w:t>FR: TAF C-3611/2014 du 3 mai 2017</w:t>
      </w:r>
    </w:p>
    <w:p>
      <w:r>
        <w:t>IT: TAF C-3611/2014 del 3 maggio 2017</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24 ottobre 2014 (doc. TAF 11),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 discende che si applicano, da un lato, le disposizioni in vigore fino al 31 dicembre 2011, per quanto attiene allo stato di fatto realizzatosi fino a tale data, mentre dall'altro lato, e per il periodo successivo,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 giugno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In via preliminare occorre esaminare la censura della violazione del diritto di essere sentito sollevata dal ricorrente. Secondo quest'ultimo, l'autorità inferiore, da un lato, non si sarebbe pronunciata sulla domanda di assistenza giudiziaria con gratuito patrocinio e, dall'altro lato, non avrebbe motivato sufficientemente la propria decisione del 2 giugno 2014.</w:t>
      </w:r>
    </w:p>
    <w:p>
      <w:r>
        <w:rPr>
          <w:b/>
        </w:rPr>
        <w:t>E. 4.1</w:t>
      </w:r>
    </w:p>
    <w:p>
      <w:r>
        <w:t>Ai sensi dell'art. 29 cpv. 2 Cost., le parti hanno diritto d'essere sentite. Per costante giurisprudenza, dal diritto di essere sentito deve essere dedotto il diritto per l'interessato di esprimersi su tutti i punti essenziali di un procedimento prima della resa di una decisione sfavorevole nei suoi confronti (DTF 133 I 270 consid. 3.1; 126 I 15 consid. 2a/aa; 124 I 49 consid. 3a), quello di fornire prove circa i fatti suscettibili di influire sul provvedimento, quello di poter prendere visione dell'incarto, quello di partecipare all'assunzione delle prove, di prenderne conoscenza e di determinarsi al riguardo (DTF 132 V 368 consid. 3.1 con rinvii). ll diritto di essere sentito di cui all'art. 29 cpv. 2 Cost. comprende anche l'obbligo per l'autorità di motivare le proprie decisioni. Tale obbligo ha lo scopo, da un lato, di porre la persona interessata nelle condizioni di comprendere le ragioni poste a fondamento del provvedimento, di rendersi conto della sua portata e di poterlo impugnare con cognizione di causa, e, dall'altro lato, di permettere all'autorità di ricorso di esaminarne la fondatezza. Ciò non significa tuttavia che l'autorità è tenuta a pronunciarsi in modo esplicito ed esaustivo su tutte le argomentazioni addotte; essa si può infatti occupare delle sole circostanze rilevanti per il giudizio, e meglio atte ad influire sulla decisione (DTF 129 I 232 consid. 3.2; 126 I 15 consid. 2a/aa; 125 II 369 consid. 2c; 122 IV 8 consid. 2c). Essendo il diritto di essere sentito una garanzia costituzionale formale, la sua violazione implica l'annullamento della decisione impugnata, a prescindere dalle possibilità di successo nel merito (DTF 132 V 387 consid. 5.1). Ai sensi della giurisprudenza, una violazione del diritto di essere sentito - nella misura in cui essa non sia di particolare momento - è da ritenersi sanata qualora l'interessato abbia la facoltà di esprimersi innanzi ad un'autorità di ricorso che gode di piena cognizione. La sanatoria di un eventuale vizio deve comunque avvenire solo in via eccezionale (cfr. sentenza del TF 9C_469/2011 del 18 giugno 2012 consid. 4.2).</w:t>
      </w:r>
    </w:p>
    <w:p>
      <w:r>
        <w:rPr>
          <w:b/>
        </w:rPr>
        <w:t>E. 4.2</w:t>
      </w:r>
    </w:p>
    <w:p>
      <w:r>
        <w:t>Nel caso concreto, la censura formale sollevata dal ricorrente va respinta. Da un lato, e contrariamente a quanto preteso nel gravame, l'autorità inferiore si è pronunciata nella decisione impugnata in merito alla domanda di assistenza giudiziaria con gratuito patrocinio (cfr. pagg. 2 e 3 del provvedimento litigioso). Dall'altro lato, e riguardo alla sollevata doglianza di una carente motivazione della decisione impugnata in materia d'assistenza giudiziaria con gratuito patrocinio, va rilevato che, sebbene succintamente, l'autorità inferiore ha spiegato quali erano i motivi posti a fondamento della propria decisione - la causa non presenterebbe né problematiche materiali o diritto complesse né questioni procedurali particolari necessitanti l'intervento di un avvocato d'ufficio - e il ricorrente ne ha potuto comprendere la portata e impugnare la stessa con cognizione di causa.</w:t>
      </w:r>
    </w:p>
    <w:p>
      <w:r>
        <w:rPr>
          <w:b/>
        </w:rPr>
        <w:t>E. 4.3</w:t>
      </w:r>
    </w:p>
    <w:p>
      <w:r>
        <w:t>Quanto alla censura concernente il rigetto nel merito da parte dell'UAIE della domanda d'assistenza giudiziaria e gratuito patrocinio in procedura di prima istanza, essa va parimenti respinta, già per il fatto che, in sostanza per le medesime ragioni già indicate nella decisione incidentale di questo Tribunale del 17 ottobre 2014 sulla domanda di assistenza giudiziaria con gratuito patrocinio in procedura di ricorso (decisione incidentale che non è stata impugnata dinanzi al TF), il ricorrente non può ritenersi indigente. Basti ancora rilevare, per sovrabbondanza, che come rettamente rilevato dall'autorità inferiore la domanda di cui trattasi andava respinta anche per il fatto che non era necessaria rispettivamente indicata in procedura di prima istanza la rappresentanza da parte di un avvocato per la tutela degli interessi del ricorrente (cfr. sulla questione la sentenza del TF 9C_993/2012 del 16 aprile 2013 consid. 4.1 con rinvii). La procedura dinanzi all'UAIE, retta dal principio inquisitorio, non contemplava problemi in fatto od in diritto di particolare momento ed è stata svolta in lingua italiana (lingua del ricorrente). A prescindere dal fatto che il ricorrente nella sua istanza del 4 aprile 2014 (doc. A 66 pag. 157) non ha sostanziato per quale ragione non avrebbe potuto farsi rappresentare in procedura di prima istanza da sindacati o altre associazioni attive in materia di AI, né indicato quali questioni in fatto od in diritto giustificherebbero la designazione di un avvocato d'ufficio. Nel ricorso (pag. 13), è fatto certo valere che l'assistenza di un avvocato è indicata in considerazione dello stato di salute del ricorrente, stato che gli impedirebbe di gestire le proprie necessità, soprattutto se correlate con la procedura AI. Tuttavia, tale motivazione è troppo generica per giustificare la designazione d'ufficio dell'avv. Alessandro Mazzoleni in procedura di prima istanza a decorrere dall'istanza del 4 aprile 2014. Neppure il certificato del 2 aprile 2014 dello psicoterapeuta E._______ giustifica una siffatta designazione, lo stesso non dimostrando uno stato psichico tale da essere incompatibile con la tutela dei propri interessi da parte del ricorrente medesimo.</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5.4</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6.1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6.2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6.3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w:t>
      </w:r>
    </w:p>
    <w:p>
      <w:r>
        <w:t>Alfine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Il periodo di riferimento nell'ambito della presente vertenza è quello intercorrente tra il 5 novembre 2013, data della decisione dell'UAIE mediante la quale è stata accordata la rendita intera d'invalidità, e il 2 giugno 2014, data della decisione impugnata.</w:t>
      </w:r>
    </w:p>
    <w:p>
      <w:r>
        <w:rPr>
          <w:b/>
        </w:rPr>
        <w:t>E. 8</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9.3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9.4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9.5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9.6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10</w:t>
      </w:r>
    </w:p>
    <w:p>
      <w:r>
        <w:t>Nel caso concreto, fermo restando l'inesigibilità dell'attività abituale di muratore (circostanza rimasta incontestata), occorre determinare se l'accertamento dei fatti giuridicamente rilevanti effettuato dall'autorità inferiore sia completo oppure se, come sostenuto dal ricorrente, questo sia insufficiente in assenza di una perizia pluridisciplinare - reumatologica, neurologica e psichiatrica - che comprenda pure un esame delle affezioni extra infortunistiche.</w:t>
      </w:r>
    </w:p>
    <w:p>
      <w:r>
        <w:rPr>
          <w:b/>
        </w:rPr>
        <w:t>E. 10.1</w:t>
      </w:r>
    </w:p>
    <w:p>
      <w:r>
        <w:t>Per i motivi che saranno indicati di seguito, la censura sollevata dal ricorrente d'accertamento insufficiente dei fatti giuridicamente rilevanti è, nel caso in esame, fondata.</w:t>
      </w:r>
    </w:p>
    <w:p>
      <w:r>
        <w:rPr>
          <w:b/>
        </w:rPr>
        <w:t>E. 10.2</w:t>
      </w:r>
    </w:p>
    <w:p>
      <w:r>
        <w:t>Per quanto concerne le patologie infortunistiche, il dott. C._______, specialista in chirurgia generale e della mano FMH, medico di circondario dell'assicurazione contro gli infortuni, nel rapporto di visita medica di chiusura del 5/10 dicembre 2013 (doc. B 166 pag. 245), ha posto la diagnosi di "infortunio professionale del 24 marzo 2011 con: trauma distorsivo della caviglia destra, allora osteonecrosi; incipiente faccetta posteriore calcagno destro e stessa patologia parte posteriore tibia distale e pilone tibiale destro. Stato dopo ricostruzione legamenti laterali caviglia destra diversi anni fa. Sviluppo poi di osteoartrosi dolorosa con osteonecrosi moderata tibiotarsica a destra e osteoartrosi dolorosa con necrosi secondaria minore sottoastragalica caviglia destra, il 28 settembre 2012 rimpiazzo protesico tibiotarsica a destra e artrodesi sottoastragalica caviglia destra (fecit dott. B._______). Il 24 luglio 2013 stabilizzazione caviglia destra secondo Coughlin con innesto tendineo del perone breve, sinoviectomia anterolaterale caviglia destra e osteotomia di valgizzazione calcagno con osteosintesi (dott. B._______). Sullo stesso infortunio trauma distorsivo articolazione gomito destro con persistente deficit di estensione attiva di 20°. Esiti da trauma distorsivo polso raggio I mano destra con morbo di Sudeck, sospetto frammento libero in corrispondenza con il polo prossimale dell'osso lunato dorsale, al momento attuale nessun problema al polso destro, neppure soggettivo". Il medico di circondario ha altresì segnalato, sulla base di esame RM gomito destro del 20 giugno 2011, una diagnosi non di pertinenza dell'assicuratore contro gli infortuni e già presente prima dell'infortunio, ossia "osteocondrite nel contesto di avanzata artrosi a livello dell'articolazione radio-omerale e processo coronoideo con condropatia profonda e sospetti microtopi (osteocondrite dissecante)". Con riferimento all'esigibilità lavorativa il dott. C._______ ha quindi concluso, nell'ambito di sua competenza, che l'attività lavorativa abituale di muratore non è più esigibile a causa specialmente della problematica post-traumatica della caviglia destra. Per attività rispettose dei limiti funzionali, ha ritenuto una capacità lavorativa completa a decorrere dal 1° gennaio 2014.</w:t>
      </w:r>
    </w:p>
    <w:p>
      <w:r>
        <w:rPr>
          <w:b/>
        </w:rPr>
        <w:t>E. 10.3</w:t>
      </w:r>
    </w:p>
    <w:p>
      <w:r>
        <w:t>Per quanto concerne le conclusioni in merito alla problematica alla caviglia destra, si è espresso il 20 marzo 2014 pure il dott. B._______, FMH chirurgia ortopedica e traumatologia (anca - ginocchio - piede), e ciò su richiesta del ricorrente (cfr. doc. A 67 pag. 159, in particolare pagg. 160 e 161). Va altresì rammentato che il dott. B._______ aveva trattato la problematica alla caviglia su incarico dell'assicuratore contro gli infortuni (cfr. i referti medici e i rapporti operatori doc. B 99 pag. 133, 135 pag. 196, 144 pag. 207, 148 pag. 215, 151 pag. 221, 154 pag. 227, 158 pag. 233 e 160 pag. 236 e doc. A 25 pag. 59, 28 pag. 63, 31 pag. 67, 32 pag. 69, 42 pag. 86 e 47 pag. 102). Nel suo rapporto del 20 marzo 2014, lo specialista ha in sostanza indicato di condividere le valutazioni del dott. C._______, ad eccezione di una limitazione funzionale per quanto riguarda il sollevamento di pesi fino al petto fino a 5 kg al massimo e non fino a 10 kg come ritenuto dal medico di circondario. Il dott. B._______ ha altresì precisato di non potere dare giudizi per quanto riguarda altre patologie, che esonerano le sue competenze.</w:t>
      </w:r>
    </w:p>
    <w:p>
      <w:r>
        <w:rPr>
          <w:b/>
        </w:rPr>
        <w:t>E. 10.4</w:t>
      </w:r>
    </w:p>
    <w:p>
      <w:r>
        <w:t>Peraltro, nel referto di elettromiografia del 3 aprile 2013 è segnalata una "sofferenza mielino-assonale del nervo SPE destro distalmente in verosimile relazione a trauma; polineuropatia assonale sensitiva agli arti inferiori da inquadrare nel contesto clinico; Esotossicosi? Diabete? Distiroidismo? Neuropatia paraneoplastica?" (doc. A 67 pag. 163). Il dott. C._______ ha dal canto suo rilevato, senza precisazioni al riguardo, che la "sospetta lesione da intrappolamento cicatriziale del nervo peroneo superficiale" non dava diritto ad una indennità per menomazione all'integrità (cfr. rapporto del 5 dicembre 2013 [doc. A 67 pag. 162]).</w:t>
      </w:r>
    </w:p>
    <w:p>
      <w:r>
        <w:rPr>
          <w:b/>
        </w:rPr>
        <w:t>E. 10.5</w:t>
      </w:r>
    </w:p>
    <w:p>
      <w:r>
        <w:t>Già si può rilevare che dai menzionati rapporti medici risultano affezioni di natura reumatologica (cfr. considerando 10.2 del presente giudizio [in particolare avanzata artrosi radio-omerale]) e neurologica (cfr. consid. 10.4 del presente giudizio) che non sono state approfondite nell'ambito della procedura in esame, senza che nelle carte processuali si possa trovare una valutazione medica motivata sulla ragione per cui si è rinunciato ad ulteriori accertamenti in tale ambito, fermo restando che non è sufficiente al riguardo la generica affermazione di cui all'annotazione dell'8 gennaio 2014 del dott. F._______, medico SMR, secondo cui le affezioni extra-infortunistiche diagnosticate al ricorrente non sono tali "da essere rilevanti sulla quotidianità e sulla vita professionale" (cfr. doc. A 50 pag. 107).</w:t>
      </w:r>
    </w:p>
    <w:p>
      <w:r>
        <w:rPr>
          <w:b/>
        </w:rPr>
        <w:t>E. 10.6</w:t>
      </w:r>
    </w:p>
    <w:p>
      <w:r>
        <w:t>Ma vi è di più. In effetti, risulta un'altra affezione, questa volta di natura psichiatrica, che non è stata oggetto di sufficiente accertamento da parte dell'UAIE. La stessa è stata segnalata il 2 aprile 2014 da E._______, psicoterapeuta dello Studio G._______ di H._______. Secondo quest'ultimo l'insorgente è affetto da uno "scompenso di tipo ansioso-depressivo con una probabile evoluzione in una sindrome da disadattamento (ICD-10 F 43.2)" che comporta un'incapacità lavorativa totale e necessita di un appoggio terapeutico costante e regolare. Lo psicoterapeuta ha invitato altresì le istanze competenti ad effettuare una valutazione peritale per stabilire la capacità lavorativa futura (doc. A 67 pag. 159, in particolare pag. 168). Nell'annotazione del 21 maggio 2014, il medico del SMR, dott. F._______, FMH medico generalista, SIM attestato medico perito, SGV attestato medico fiduciario, non ha tenuto conto della valutazione dello psicoterapeuta in quanto non diagnosticata da uno specialista in psichiatria (doc. A 74 pag. 244). Nel contesto della risposta al ricorso, il dott. I._______, medico del SMR, consultato dall'amministrazione il 26 agosto 2014, ha rilevato l'assenza di una "certificazione medica specialistica (...) che permetta un'adeguata valutazione della problematica psichica e dell'eventuale impatto sulla capacità lavorativa dell'assicurato" (allegato al doc. TAF 7). L'Ufficio AI, nel preavviso del 3 settembre 2014 allegato alla risposta dell'UAIE dell'8 settembre 2014, ne ha dedotto la conferma della correttezza della valutazione medica del caso in esame (doc. TAF 7 e allegati). Questo Tribunale rileva, tuttavia, che agli atti di cui all'incarto dell'UAIE non vi è però alcun esame medico specialistico riguardante le affezioni psichiche diagnosticate dallo psicoterapeuta E._______. Ora, e indipendentemente dalla questione di sapere se sulla base di una diagnosi di uno psicoterapeuta si possa concludere ad una specifica incapacità lavorativa in ambito AI, non è possibile rinunciare ad un sufficiente accertamento dal profilo psichiatrico se non allorquando si possa affermare, senza arbitrio, che dai nuovi accertamenti non potrebbero risultare fatti suscettibili di influire sull'esito della lite. Tale non è manifestamente il caso nella presente vertenza, i medici SMR non avendo indicato nei menzionati rapporti che la rinuncia ad ulteriori accertamenti da effettuarsi d'ufficio era dovuta al fatto che l'esito di tali accertamenti non poteva incidere sulla residua capacità lavorativa del ricorrente. Pertanto, anche dal profilo psichiatrico l'autorità inferiore non ha effettuato la necessaria istruttoria.</w:t>
      </w:r>
    </w:p>
    <w:p>
      <w:r>
        <w:rPr>
          <w:b/>
        </w:rPr>
        <w:t>E. 10.7</w:t>
      </w:r>
    </w:p>
    <w:p>
      <w:r>
        <w:t>Non è peraltro né appropriato né tanto meno consentito di decidere la causa al suo stato attuale, in assenza dei necessari e suindicati accertamenti medici, sulle sole certificazioni dello psicoterapeuta E._______ del 2 aprile 2014 e del dott. J._______ del 13 giugno 2014 (che fondamentalmente si basa sulla valutazione dello psicoterapeuta), le stesse essendo insufficientemente precise per poter adempire il criterio della probabilità preponderante di cui alle procedure in materia di AI, circostanza che lo stesso psicoterapeuta ha riconosciuto per quanto attiene alla sua valutazione.</w:t>
      </w:r>
    </w:p>
    <w:p>
      <w:r>
        <w:rPr>
          <w:b/>
        </w:rPr>
        <w:t>E. 11</w:t>
      </w:r>
    </w:p>
    <w:p>
      <w:r>
        <w:t>Da quanto esposto, discende che la decisione impugnata, fondata su un accertamento insufficiente dei fatti giuridicamente rilevanti dal profilo neurologico, psichiatrico e reumatologico, viola il diritto federale ed incorre nell'annullamento.</w:t>
      </w:r>
    </w:p>
    <w:p>
      <w:r>
        <w:rPr>
          <w:b/>
        </w:rPr>
        <w:t>E. 12.1</w:t>
      </w:r>
    </w:p>
    <w:p>
      <w:r>
        <w:t>Quando il TAF annulla una decisione, esso può sostituirsi all'autorità inferiore e giudicare direttamente nel merito o rinviare la causa, con istruzioni vincolanti, all'autorità inferiore per un nuovo giudizio (cfr. sentenza del TAF C-71/2010 del 25 giugno 2012 consid. 9.1).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pluridisciplinare in neurologia, reumatologia e psichiatria (cfr., sulla possibilità di un rinvio all'autorità inferiore in siffatte circostanze, DTF 137 V 210 4.4.1.4), e con ogni ulteriore esame che l'evoluzione nel tempo dello stato di salute del ricorrente dovesse rendere necessario, nonché a pronunciare una nuova decisione. A seconda del risultato di tale istruttoria, l'UAIE dovrà in particolare esaminare se la residua capacità lavorativa che dovesse essere infine ritenuta è, o meno, suscettibile di essere ancora sfruttata dal ricorrente (dei concreti dubbi sussistono al riguardo; cfr. doc. A 80 pag. 354 e seg.), se del caso effettuare un nuovo raffronto dei redditi determinanti, in particolare sulla base delle possibili attività sostitutive, e, sempre se del caso, determinare il momento a partire dal quale possa eventualmente giustificarsi una riduzione o soppressione della rendita.</w:t>
      </w:r>
    </w:p>
    <w:p>
      <w:r>
        <w:rPr>
          <w:b/>
        </w:rPr>
        <w:t>E. 12.2</w:t>
      </w:r>
    </w:p>
    <w:p>
      <w:r>
        <w:t>Giova altresì ancora rilevare che in considerazione dell'esito della lite, le ulteriori censure sollevate dal ricorrente, in particolare quella sulla valutazione economica, possono restare indecise, l'autorità inferiore dovendo nuovamente pronunciarsi sul caso.</w:t>
      </w:r>
    </w:p>
    <w:p>
      <w:r>
        <w:rPr>
          <w:b/>
        </w:rPr>
        <w:t>E. 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 giugno 2014 l'autorità inferiore ha deciso di sopprimere, con effetto al 1° agosto 2014, la rendita intera d'invalidità versata fino ad allora.</w:t>
      </w:r>
    </w:p>
    <w:p>
      <w:r>
        <w:rPr>
          <w:b/>
        </w:rPr>
        <w:t>E. 14.1</w:t>
      </w:r>
    </w:p>
    <w:p>
      <w:r>
        <w:t>Visto l'esito della causa - e nonostante la soccombenza peraltro su un punto marginale, ossia il diniego della domanda di gratuito patrocinio per la procedura di prima istanza - non sono prelevate delle spese processuali (art. 63 PA e art. 6 lett. b TS-TAF [RS 173.320.2]). L'anticipo equivalente alle presumibili spese processuali di fr. 400.-, versato il 24 ottobre 2014, sarà restituito al ricorrente allorquando la presente sentenza sarà cresciuta in giudicato.</w:t>
      </w:r>
    </w:p>
    <w:p>
      <w:r>
        <w:rPr>
          <w:b/>
        </w:rPr>
        <w:t>E. 14.2</w:t>
      </w:r>
    </w:p>
    <w:p>
      <w:r>
        <w:t>Ritenuto che l'insorgente è rappresentato in questa sede da mandatario professionale, si giustifica altresì l'attribuzione di un'indennità per spese ripetibili (art. 64 PA in combinazione con l'art. 7 segg. TS-TAF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L'indennità per spese ripetibili, in assenza di una nota dettagliata, è fissata d'ufficio (art. 14 cpv. 2 TS-TAF) in complessivi fr. 2'800.- (compresi i disborsi ed esclusa l'imposta sull'IVA [cfr., fra le tante, sentenza del TAF C-3058/2015 del 23 maggio 2016 consid. 22.4.4 con rinvii]), tenuto conto del lavoro utile e necessario svolto dal rappresentante del ricorrente. La stessa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