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C-3607/2011 vom 6. September 2012</w:t>
      </w:r>
    </w:p>
    <w:p>
      <w:r>
        <w:t>Bundesverwaltungsgericht, 2012-09-06, FR</w:t>
      </w:r>
    </w:p>
    <w:p>
      <w:r>
        <w:rPr>
          <w:b/>
        </w:rPr>
        <w:t xml:space="preserve">Quelle: </w:t>
      </w:r>
      <w:r>
        <w:t>https://mcp.opencaselaw.ch/entscheid/bvger_C-3607_2011</w:t>
      </w:r>
    </w:p>
    <w:p>
      <w:r>
        <w:t>FR: TAF C-3607/2011 du 6 septembre 2012</w:t>
      </w:r>
    </w:p>
    <w:p>
      <w:r>
        <w:t>IT: TAF C-3607/2011 del 6 settembre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A l'examen du dossier, il apparaît que l'ODM n'a pas informé la recourante qu'il entendait prononcer une mesure d'interdiction d'entrée à son endroit et ne lui a pas donné l'occasion de se déterminer avant de rendre la décision d'interdiction d'entrée en Suisse le 28 avril 2011. Quand bien même le grief d'une éventuelle violation du droit d'être entendu n'a pas été soulevé par A._______ dans ses différentes écritures, il y a lieu d'analyser d'office cette question (cf. Alfred Kölz / Isabelle Häner, Verwaltungsverfahren und Verwaltungsrechtspflege des Bundes, 2ème édition, Zurich 1998, p. 46, ch. 130).</w:t>
      </w:r>
    </w:p>
    <w:p>
      <w:r>
        <w:rPr>
          <w:b/>
        </w:rPr>
        <w:t>E. 3.1</w:t>
      </w:r>
    </w:p>
    <w:p>
      <w:r>
        <w:t>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sa situation juridique, soit le droit d'exposer ses arguments de droit, de fait ou d'opportunité, de répondre aux objections de l'autorité et de déterminer sur les autres éléments du dossier (cf. ATF 135 I 279 consid. 2.3, ATF 132 II 485 consid. 3, ATF 126 I 7 consid. 2b, ATF 124 II 132 consid. 2b, et la jurisprudence citée ; ATAF 2010/53 consid. 13.1 ; cf. également Thierry Tanquerel, Manuel de droit administratif, Genève / Bâle / Zurich 2011, p. 509, ch. 1528).</w:t>
      </w:r>
    </w:p>
    <w:p>
      <w:r>
        <w:rPr>
          <w:b/>
        </w:rPr>
        <w:t>E. 3.2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Christoph Auer / Markus Müller / Benjamin Schindler, Kommentar zum Bundesgesetz über das Verwaltungsverfahren [VwVG], Zurich / Saint-Gall 2008, ad art. 29 PA, ch. 16, et André Moser / Michael Beusch / Lorenz Kneubühler, Prozessieren vor dem Bundesverwaltungsgericht, Lausanne / Zurich / Berne 2008, p. 153, ch. 3.110).</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op. cit., ch. 18 ad art. 29 PA ; cf. également André Moser / Michael Beusch / Lorenz Kneubühler, op. cit., p. 154, ch. 3.112, et les références citées).</w:t>
      </w:r>
    </w:p>
    <w:p>
      <w:r>
        <w:rPr>
          <w:b/>
        </w:rPr>
        <w:t>E. 3.4</w:t>
      </w:r>
    </w:p>
    <w:p>
      <w:r>
        <w:t>En l'espèce, il appert que l'ODM a prononcé, en date du 28 avril 2011, une interdiction d'entrée d'une durée légèrement inférieure à trois ans à l'encontre de A._______ sans lui avoir préalablement donné la possibilité de s'exprimer. L'examen détaillé du dossier amène le Tribunal à constater que l'autorité inférieure disposait de l'adresse de la prénommée en Israël, pays dans lequel elle est retournée en décembre 2010. Preuve en est l'adresse figurant sur la décision querellée. De surcroît, la décision litigieuse ne revêtait aucun caractère d'urgence qui aurait permis à l'ODM de renoncer à entendre l'intéressée en application de l'art. 30 al. 2 let. e PA. D'une manière générale, pour appliquer la clause du péril en la demeure, il faut non seulement que la mesure à prendre soit temporellement urgente, mais aussi qu'un intérêt public ou privé important le justifie. Autrement dit, l'autorité doit mettre en balance l'intérêt au prononcé immédiat de la mesure et celui des parties au respect de leur droit d'être entendu (cf. Thierry Tanquerel, op. cit., p. 510, ch. 1534). Or, en l'espèce, il n'y avait pas urgence pour l'ODM à statuer, de sorte que l'intérêt au prononcé immédiat d'une mesure d'interdiction d'entrée aurait dû céder le pas à l'intérêt de la recourante à être entendue avant que pareille décision ne fût prise à son endroit. Le fait pour l'ODM de ne pas avoir octroyé la possibilité à A._______ de faire valoir ses arguments avant de prendre une décision n'est pas conforme aux critères définis par la jurisprudence et la doctrine exposés ci-dessus. En outre, le respect du droit d'être entendu est d'autant plus important en matière d'interdiction d'entrée qu'il s'agit d'une mesure particulièrement incisive, dès lors qu'elle a pour effet d'empêcher son destinataire de pénétrer à nouveau en Suisse et dans l'Espace Schengen pour un laps de temps relativement long, l'effet de la mesure étant étendu à celui-ci par le signalement de l'intéressée dans le Système d'information Schengen (SIS ; cf. arrêt du Tribunal administratif fédéral C 5261/2009 du 19 juillet 2010, consid. 3.3 et les arrêts cités).</w:t>
      </w:r>
    </w:p>
    <w:p>
      <w:r>
        <w:rPr>
          <w:b/>
        </w:rPr>
        <w:t>E. 3.5</w:t>
      </w:r>
    </w:p>
    <w:p>
      <w:r>
        <w:t>Il ressort de ce qui précède que l'autorité de première instance a violé le droit d'être entendue de A._______ en omettant de lui donner la possibilité de s'exprimer avant de rendre la décision d'interdiction d'entrée du 28 avril 2011. Ce vice formel, vu sa gravité, ne peut être guéri dans le cadre de la présente procédure de recours, ce d'autant moins que les faits de la cause ont été établis de manière incomplète (cf. ci-après, consid. 4).</w:t>
      </w:r>
    </w:p>
    <w:p>
      <w:r>
        <w:rPr>
          <w:b/>
        </w:rPr>
        <w:t>E. 4</w:t>
      </w:r>
    </w:p>
    <w:p>
      <w:r>
        <w:t>En effet, dans sa décision d'interdiction d'entrée datée du 28 avril 2011, l'autorité inférieure a estimé que A._______ avait attenté à la sécurité et à l'ordre publics et les avait mis en danger pour avoir violé l'art. 2 al. 1 let. b OAMal, mais également "pour des motifs de troubles de l'ordre public", sans autre précision. Par la suite, dans sa réplique du 3 août 2011, l'autorité de première instance a fait mention d'un courrier électronique du Bureau des étrangers de Villars-sur-Ollon daté du 29 septembre 2010 et d'un courrier, de cette même autorité, du 31 janvier 2011. Le courrier électronique relevait, de manière laconique, que la prénommée était connue de la police locale en raison de troubles à l'ordre public. Quant à la lettre du 31 janvier 2011, elle abordait, au conditionnel, l'état de santé de la recourante, émettait quelques considérations sur le caractère de cette dernière, soulignait les difficultés à obtenir d'elle des documents et des explications et faisait état de plaintes et de plusieurs expulsions d'établissements publics. Avant de prononcer une interdiction d'entrée sur la base de ces documents notamment, l'autorité de première instance aurait dû vérifier ces diverses allégations, dont certaines s'apparentent plus à des rumeurs qu'à des faits, procéder à une instruction en bonne et due forme permettant de déterminer si A._______ avait effectivement attenté et mis en danger la sécurité et l'ordre publics. En omettant de le faire, l'ODM a procédé à une constatation incomplète des faits pertinents au sens de l'art. 49 let. b PA. Une instruction complémentaire se justifiait d'autant plus que, par la suite, l'état de fait s'est modifié en ce sens que les plaintes pénales déposées contre la recourante ont été retirées (cf. prononcé rendu le 3 novembre 2011 par le Tribunal d'arrondissement de l'Est vaudois). Or, bien que le Tribunal ait donné à l'ODM la possibilité, par ordonnance du 8 décembre 2011, de revoir sa position, ledit office a dupliqué, le 28 décembre 2011, en précisant qu'aucun élément nouveau n'était susceptible de modifier son appréciation.</w:t>
      </w:r>
    </w:p>
    <w:p>
      <w:r>
        <w:rPr>
          <w:b/>
        </w:rPr>
        <w:t>E. 5</w:t>
      </w:r>
    </w:p>
    <w:p>
      <w:r>
        <w:t>Au vu de ce qui précède, le recours doit être admis, la décision querellée annulée et l'affaire renvoyée à l'autorité de première instance afin qu'elle procède à l'instruction de la cause et entende la recourante préalablement au prononcé d'une nouvelle décision. Au demeurant, sans vouloir préjuger du sort de la cause sur le plan du droit matériel, le Tribunal rend l'ODM attentif, lorsqu'il statuera à nouveau, aux arguments de la recourante, développés dans son mémoire de recours et sa réplique et se rapportant à l'art. 2 al. 1 let. b OAMal, lesquels ne paraissent de prime abord pas dénués de tout fondement.</w:t>
      </w:r>
    </w:p>
    <w:p>
      <w:r>
        <w:rPr>
          <w:b/>
        </w:rPr>
        <w:t>E. 6.1</w:t>
      </w:r>
    </w:p>
    <w:p>
      <w:r>
        <w:t>Compte tenu de l'issue de la cause, il n'est pas perçu de frais de procédure (cf. art. 63 al. 1 [a contrario] à 3 PA).</w:t>
      </w:r>
    </w:p>
    <w:p>
      <w:r>
        <w:rPr>
          <w:b/>
        </w:rPr>
        <w:t>E. 6.2</w:t>
      </w:r>
    </w:p>
    <w:p>
      <w:r>
        <w:t>Il convient par ailleurs d'allouer à la recourante des dépens pour les frais indispensables et relativement élevés occasionnés par la présente procédure de recours (cf. art. 64 al. 1 PA, en relation avec les art. 7 et 8 du règlement concernant les frais, dépens et indemnités fixés par le Tribunal administratif fédéral du 21 février 2008 [FITAF ;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 ss FITAF, que le versement d'un montant de 1'500 francs à titre de dépens (TVA comprise) à la recourante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