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C-3601/2008 vom 15. Januar 2010</w:t>
      </w:r>
    </w:p>
    <w:p>
      <w:r>
        <w:t>Bundesverwaltungsgericht, 2010-01-15, DE</w:t>
      </w:r>
    </w:p>
    <w:p>
      <w:r>
        <w:rPr>
          <w:b/>
        </w:rPr>
        <w:t xml:space="preserve">Quelle: </w:t>
      </w:r>
      <w:r>
        <w:t>https://mcp.opencaselaw.ch/entscheid/bvger_C-3601_2008</w:t>
      </w:r>
    </w:p>
    <w:p>
      <w:r>
        <w:t>FR: TAF C-3601/2008 du 15 janvier 2010</w:t>
      </w:r>
    </w:p>
    <w:p>
      <w:r>
        <w:t>IT: TAF C-3601/2008 del 15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 Staatsangehörige unterliegt die Gesuchstellerin damit der Visumspflicht.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Die internationale Finanzkrise hat seit dem letzten Quartal 2008 auch auf die Wirtschaft Thailands deutlich spürbare Auswirkungen. Hauptursache ist deren Exportabhängigkeit und das Wegbrechen wichtiger Absatzmärkte (USA, Japan, EU, China). Überlagert wurde der Ende 2008 Jahres einsetzende Abwärtstrend durch die politische Konfrontation zwischen damaliger Regierung und regierungskritischen Demonstranten, die Ende November 2008 in der Besetzung der internationalen Flughäfen Bangkoks gipfelte und zu einem massiven Einbruch im Tourismus führte. Die Regierung Abhisit hat auf den wirtschaftlichen Rückgang relativ rasch reagiert und bereits am 13. Januar 2009 die erste Staffel eines umfangreichen Konjunkturprogramms mit einem Volumen von rund 1,5 Mrd. Euro verabschiedet. Ergänzt wurde dieses Sofortprogramm durch ein vom Kabinett am 20. Januar 2009 verabschiedetes Massnahmenpaket mit einem Volumen von rund 890 Mio. Euro. Weitere Massnahmen zur Unterstützung von mehrjährigen Infrastrukturprojekten (42,2 Mrd. Euro) sollten in der zweiten Jahreshälfte 2009 wirksam werden. Dennoch ist unübersehbar, dass der wirtschaftliche Abwärtstrend bis auf Weiteres anhalten wird. Das Wachstum des Bruttoinlandprodukts belief sich im Jahr 2008 - trotz der Einbrüche im letzten Quartal - immerhin noch auf 2,3%. Angesichts der schwer einschätzbaren internationalen Risiken, insbesondere der Entwicklung der thailändischen Exportmärkte, sind die Prognosen für das Jahr 2009 aber vorsichtig und gehen von einem Wachstum des Bruttoinlandprodukts zwischen 0 und 2% aus. Eine Rezession wird nicht ausgeschlossen. Der Einbruch im Exportsektor dürfte 2009 zu einem Anstieg der Arbeitslosenquote (sie lag Ende 2008 nach offiziellen Angaben bei 1,4%) auf 3,4 bis 4% führen (Quelle: http://www. auswaertiges-amt.de, Länder- und Reiseinformationen&gt;Thailand&gt;Wirtschaft, Stand: Oktober 2009, besucht im Januar 2010).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9</w:t>
      </w:r>
    </w:p>
    <w:p>
      <w:r>
        <w:t>Die geschilderten Umstände im Heimatland der Gesuchstellerin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9.1</w:t>
      </w:r>
    </w:p>
    <w:p>
      <w:r>
        <w:t>Bei der Gesuchstellerin handelt es sich um eine 29-jährige ledige Frau, die für einen dreimonatigen Besuchsaufenthalt in die Schweiz einreisen will. In ihrem Visumsgesuch hat sie ihre berufliche Tätigkeit mit "werver" - gemeint ist wohl "weaver" (Weberin) - bezeichnet. Weiterhin hat sie in ihrem an die Schweizerische Botschaft in Bangkok gerichteten Schreiben vom 16. April 2008 angegeben, sie sei Besitzerin einer Seidenfarm, von deren Einnahmen sie ihren Lebensunterhalt gut bestreiten könne. Im gleichen Schreiben hat sie zudem mitgeteilt, sie habe ihren Gastgeber vor einigen Monaten in Phuket - als sie dort als Serviererin gearbeitet habe - kennengelernt.</w:t>
      </w:r>
    </w:p>
    <w:p>
      <w:r>
        <w:rPr>
          <w:b/>
        </w:rPr>
        <w:t>E. 9.2</w:t>
      </w:r>
    </w:p>
    <w:p>
      <w:r>
        <w:t>Die Angaben der relativ jungen und ungebundenen Gesuchstellerin lassen, entgegen ihrer eigenen Zusicherung, Zweifel an der fristgerechten Wiederausreise entstehen. Insbesondere kann nicht davon ausgegangen werden, dass sie sich - wenige Monate zuvor noch im Gastgewerbe tätig - mit der Bewirtschaftung einer Seidenfarm eine stabile berufliche Situation aufgebaut und entsprechende wirtschaftliche Perspektiven geschaffen hat. Auch die vom Beschwerdeführer angeführten monatlichen Unterstützungszahlungen sprechen gegen eine solche Annahme (vgl. dessen Schreiben an die Schweizerische Botschaft in Bangkok vom 15. März 2008); ebensowenig liefert das Beschwerdevorbringen einen Hinweis auf die wirtschaftliche Selbständigkeit der Gesuchstellerin. Dass diese sich für eine relativ lange Zeit von drei Monaten ins Ausland begeben möchte, spricht schliesslich ebenfalls gegen ihre berufliche Verwurzelung.</w:t>
      </w:r>
    </w:p>
    <w:p>
      <w:r>
        <w:rPr>
          <w:b/>
        </w:rPr>
        <w:t>E. 9.3</w:t>
      </w:r>
    </w:p>
    <w:p>
      <w:r>
        <w:t>Der Gastgeber hat in seiner Beschwerde vom 30. Mai 2008 keine hinreichenden Gründe aufgezeigt, welche die dargelegten Zweifel an der fristgerechten Rückkehr seines Gastes ausräumen könnten. Insbesondere hat er geltend gemacht, er wohne in den Wintermonaten mit seiner Lebenspartnerin in seinem eigenen Haus auf einer thailändischen Insel, während beide die Sommermonate im jeweiligen Heimatland verbrächten. Angesichts der laut Angaben der Gesuchstellerin erst kurzzeitigen gegenseitigen Bekanntschaft ist diese - auf eine mehrjährige Beziehung hindeutende - Darstellung jedoch nicht glaubhaft. Immerhin hat auch die Schweizerische Botschaft am 17. April 2008 zum Einreisegesuch vermerkt, die Gesuchstellerin habe eigenen Angaben zufolge ihren Freund erst im Februar 2007 kennen gelernt und seitdem erst einmal getroffen.</w:t>
      </w:r>
    </w:p>
    <w:p>
      <w:r>
        <w:rPr>
          <w:b/>
        </w:rPr>
        <w:t>E. 9.4</w:t>
      </w:r>
    </w:p>
    <w:p>
      <w:r>
        <w:t>Vor diesem Hintergrund ist unerheblich, ob der Beschwerdeführer glaubt, künftig jeweils die Sommermonate mit seiner Freundin in der Schweiz verbringen und in ferner Zukunft auch die von ihm behaupteten Heiratsabsichten verwirklichen zu können. Aufgrund der Aktenlage lässt sich jedenfalls nicht feststellen, dass zwischen Gast und Gastgeber eine derart enge Verbundenheit besteht, die auf eine gemeinsame Lebensplanung schliessen liesse. Selbst wenn die 29-jährige Gesuchstellerin Hoffnungen auf eine echte Partnerschaft hegen sollte, so ist denkbar, dass ihre Beziehung zum erheblich älteren Gastgeber (Jahrgang 1953) bereits nach kurzer Zeit scheitern und sie sich veranlasst sehen könnte, auf der Suche nach einem anderen Lebenspartner in der Schweiz zu bleiben. Unter Berücksichtigung ihrer unklaren beruflichen und finanziellen Situation im Heimatland kann daher in Bezug auf ihre fristgerechte Wiederausreise keine günstige Prognose gestellt werden.</w:t>
      </w:r>
    </w:p>
    <w:p>
      <w:r>
        <w:rPr>
          <w:b/>
        </w:rPr>
        <w:t>E. 10</w:t>
      </w:r>
    </w:p>
    <w:p>
      <w:r>
        <w:t>Der Beschwerdeführer sichert zwar die Rückkehr seines Gastes zu und verweist insofern auf die ihm selbst obliegende Verantwortung. Dem ist jedoch entgegenzuhalten, dass bei der Abwägung des Risikos einer nicht fristgerechten Wiederausreise nicht so sehr die Absichten des Gastgebers, sondern in erster Linie das mögliche Verhalten des Gastes selbst von Bedeutung sind. Nur Letzterer ist in der Lage, hinreichend Gewähr für seine Rückkehrbereitschaft zu bieten. Der Gastgeber kann zwar für gewisse finanzielle Risiken garantieren, mangels rechtlicher und faktischer Durchsetzbarkeit nicht aber für ein bestimmtes Verhalten des Gastes (vgl. Urteil des Bundesverwaltungsgerichts C-7257/2008 vom 30. April 2009 E. 8.5).</w:t>
      </w:r>
    </w:p>
    <w:p>
      <w:r>
        <w:rPr>
          <w:b/>
        </w:rPr>
        <w:t>E. 11</w:t>
      </w:r>
    </w:p>
    <w:p>
      <w:r>
        <w:t>Die Vorinstanz durfte unter den gegebenen Umständen zu Recht davon ausgehen, dass die fristgerechte Wiederausreise der Gesuchstellerin nicht gewährleistet sei. Zwar lässt sich diese Einschätzung nicht zu einer völlig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