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C-3599/2012 vom 26. September 2013</w:t>
      </w:r>
    </w:p>
    <w:p>
      <w:r>
        <w:t>Bundesverwaltungsgericht, 2013-09-26, DE</w:t>
      </w:r>
    </w:p>
    <w:p>
      <w:r>
        <w:rPr>
          <w:b/>
        </w:rPr>
        <w:t xml:space="preserve">Quelle: </w:t>
      </w:r>
      <w:r>
        <w:t>https://mcp.opencaselaw.ch/entscheid/bvger_C-3599_2012</w:t>
      </w:r>
    </w:p>
    <w:p>
      <w:r>
        <w:t>FR: TAF C-3599/2012 du 26 septembre 2013</w:t>
      </w:r>
    </w:p>
    <w:p>
      <w:r>
        <w:t>IT: TAF C-3599/2012 del 26 settembre 2013</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Gemäss Art. 60 Abs. 1 ATSG ist die Beschwerde innert 30 Tagen nach Eröffnung des Einspracheentscheides einzureichen. Vorliegend datiert der angefochtene Einspracheentscheid vom 18. Mai 2012 und die Beschwerde wurde am 30. Juni 2012 bei der serbischen Post aufgegeben. Gemäss Stellungnahme der IVSTA vom 12. Dezember 2012 konnte das Zustellungsdatum der angefochtenen Verfügung nicht mehr eruiert werden. Die Beweislast für den Beginn der Frist liegt bei der eröffnenden Behörde (Ulrich Häfelin/Georg Müller/Felix Uhlmann, Allgemeines Verwaltungsrecht, 5. Aufl., Zürich/Basel/Genf 2006, Rz. 1651). Aus diesen Gründen ist zu Gunsten des Beschwerdeführers davon auszugehen, dass die Beschwerde fristgerecht erfolgte.</w:t>
      </w:r>
    </w:p>
    <w:p>
      <w:r>
        <w:rPr>
          <w:b/>
        </w:rPr>
        <w:t>E. 1.5</w:t>
      </w:r>
    </w:p>
    <w:p>
      <w:r>
        <w:t>Da die Beschwerde im Übrigen formgerecht (Art. 52 Abs. 1 VwVG) eingereicht wurde, ist darauf einzutreten.</w:t>
      </w:r>
    </w:p>
    <w:p>
      <w:r>
        <w:rPr>
          <w:b/>
        </w:rPr>
        <w:t>E. 2</w:t>
      </w:r>
    </w:p>
    <w:p>
      <w:r>
        <w:t>Vorab ist zu prüfen, welche Rechtsnormen im vorliegenden Verfahren zur Anwendung gelangen.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nachfolgend: schweizerisch-jugoslawisches Sozialversicherungsabkommen) für alle Staatsangehörigen des ehemaligen Jugoslawiens anwendbar (BGE 126 V 203 E. 2b, 122 V 382 E. 1, 119 V 101 E. 3). Zwischenzeitlich hat die Schweiz mit Nachfolgestaaten des ehemaligen Jugoslawiens (Kroatien, Slowenien und Mazedonien), nicht aber mit Serbien oder mit dem Kosovo, neue Abkommen über Soziale Sicherheit abgeschlossen.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2.2</w:t>
      </w:r>
    </w:p>
    <w:p>
      <w:r>
        <w:t>Da vorliegend keine abweichenden Bestimmungen zur Anwendung gelangen, bestimmt sich der Anspruch des Beschwerdeführers auf Leistungen der schweizerischen Alters- und Hinterlassenenversicherung gemäss vorstehender Ausführungen auf Grund des AHVG, der Verordnung vom 31. Oktober 1947 über die Alters- und Hinterlassenenversicherung (AHVV, SR 831.101), des ATSG sowie der Verordnung vom 11. Septem­ber 2002 über den Allgemeinen Teil des Sozialversicherungsrechts (ATSV, SR 830.11).</w:t>
      </w:r>
    </w:p>
    <w:p>
      <w:r>
        <w:rPr>
          <w:b/>
        </w:rPr>
        <w:t>E. 3</w:t>
      </w:r>
    </w:p>
    <w:p>
      <w:r>
        <w:t>Vorliegend ist strittig und vom Bundesverwaltungsgericht zu prüfen, ob die SAK die Rente (einmalige Abfindung) des Beschwerdeführers korrekt ermittelt hat.</w:t>
      </w:r>
    </w:p>
    <w:p>
      <w:r>
        <w:rPr>
          <w:b/>
        </w:rPr>
        <w:t>E. 3.1.1</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w:t>
      </w:r>
    </w:p>
    <w:p>
      <w:r>
        <w:rPr>
          <w:b/>
        </w:rPr>
        <w:t>E. 3.1.2</w:t>
      </w:r>
    </w:p>
    <w:p>
      <w:r>
        <w:t>Bei vollständiger Beitragsdauer besteht Anspruch auf eine Vollrente (Art. 34 AHVG). Die Beitragsdauer ist dann vollständig, wenn die versicherte Person gleich viele Beitragsjahre aufweist wie ihr Jahrgang (Art. 29ter Abs. 1 AHVG), und zwar für die Jahre zwischen dem 1. Januar nach Vollendung des 20. Altersjahres und dem 31. Dezember vor Eintritt des Versicherungsfalles (Art. 29bis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Ist die Beitragsdauer nicht vollständig, besteht nur Anspruch auf eine Teilrente, welche einem Bruchteil der Vollrente entspricht. Dieser bemisst sich nach der Verhältniszahl zwischen der effektiven Beitragsdauer einerseits und der vollständigen Beitragsdauer des Jahrgangs anderseits (Art. 38 AHVG, Art. 52 AHVV; vgl. Thomas Locher, Grundriss des Sozialversicherungsrechts, 3. Aufl., [Stand der Gesetzgebung, Literatur und Rechtsprechung: 1. Juli 2003], Bern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3.1.3</w:t>
      </w:r>
    </w:p>
    <w:p>
      <w:r>
        <w:t>Die Beitragsdauer einer versicherten Person bestimmt sich in der Regel nach den Einträgen in ihren individuellen Konten (IK; Art. 30ter AHVG). 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3.1.4</w:t>
      </w:r>
    </w:p>
    <w:p>
      <w:r>
        <w:t>Der Versicherte hat das Recht, bei jeder Ausgleichskasse, die für ihn ein individuelles Konto führt, einen Auszug über die gemachten Eintragungen unter Angabe allfälliger Arbeitgeber zu verlangen (Art. 141 Abs. 1 AHVV). Wird kein Kontoauszug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3 AHVV; vgl. auch BGE 117 V 261 ff.). Damit wird jedoch keine Beweiserschwernis herbeigeführt, sondern gemäss bundesgerichtlicher Rechtsprechung gilt der ebenfalls im Sozialversicherungsrecht anwendbare Untersuchungsgrundsatz. Dies hat zur Folge,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261 E. 3). Die Kontoberichtigung erstreckt sich sodann auf die gesamte Beitragsdauer der Versicherten, beschlägt also auch Beitragsjahre, für welche nach Art. 16 Abs. 1 AHVG jede Beitragszahlung infolge Verjährung unzulässig ist (ZAK 1984 S. 178 E. 1 und S. 441). In diesem Sinne ist beispielsweise die Nichtregistrierung tatsächlich geleisteter Beiträge jederzeit der Korrektur zugänglich (BGE 117 V 261 E. 3).</w:t>
      </w:r>
    </w:p>
    <w:p>
      <w:r>
        <w:rPr>
          <w:b/>
        </w:rPr>
        <w:t>E. 3.1.5</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w:t>
      </w:r>
    </w:p>
    <w:p>
      <w:r>
        <w:rPr>
          <w:b/>
        </w:rPr>
        <w:t>E. 3.1.6</w:t>
      </w:r>
    </w:p>
    <w:p>
      <w:r>
        <w:t>Hat ein Staatsangehöriger der Sozialistischen Föderativen Republik Jugoslawien, der sich nicht in der Schweiz aufhält, Anspruch auf eine ordentliche Teilrente, die höchstens ein Zehntel der entsprechenden ordentlichen Vollrente beträgt, so wird ihm an Stelle der Teilrente eine Abfindung in der Höhe des Barwertes der geschuldeten Rente gewährt. Beträgt die ordentliche Teilrente mehr als ein Zehntel, aber höchstens ein Fünftel der entsprechenden ordentlichen Vollrente, so kann er zwischen der Ausrichtung der Rente oder einer Abfindung wählen. Diese Wahl ist bei der Anmeldung zum Rentenbezug zu treffen, falls der Berechtigte sich ausserhalb der Schweiz aufhält (vgl. Art. 7 lit. a des schweizerisch-jugoslawischen Sozialversicherungsabkommens).</w:t>
      </w:r>
    </w:p>
    <w:p>
      <w:r>
        <w:rPr>
          <w:b/>
        </w:rPr>
        <w:t>E. 3.2</w:t>
      </w:r>
    </w:p>
    <w:p>
      <w:r>
        <w:t>Der Beschwerdeführer macht in seiner Beschwerde im Wesentlichen geltend, die Vorinstanz habe seine Beitragszeit aus dem Arbeitsverhältnis in "C._______" nicht berücksichtigt. Danach habe er in D._______ gearbeitet. Auch sei die Berechnung der Beitragszeit aus dem Arbeitsverhältnis beim Hotel A._______ in B._______ falsch. Dort habe er vom 12. Dezember 1971 bis zum 1. März 1972 gearbeitet.</w:t>
      </w:r>
    </w:p>
    <w:p>
      <w:r>
        <w:rPr>
          <w:b/>
        </w:rPr>
        <w:t>E. 3.2.1</w:t>
      </w:r>
    </w:p>
    <w:p>
      <w:r>
        <w:t>Der Beschwerdeführer führt in seiner Beschwerde nicht näher aus, für welchen Arbeitgeber und wie lange er in "C._______" gearbeitet haben will. Ferner substantiiert er nicht, ob und gegebenenfalls inwiefern die Beitragszeiten aus dem Arbeitsverhältnis in D._______ nicht korrekt ermittelt worden sein sollen. Auch reichte er diesbezüglich keine Beweismittel zu den Akten. Dem IK-Auszug vom 5. Juli 2012 kann entnommen werden, dass der Beschwerdeführer im Mai 1970 für das Hotel E._______ in F._______ gearbeitet hat. Weiter ist daraus ersichtlich, dass er in den Monaten Mai bis Oktober 1970 für G._______ Hotels in D._______ gearbeitet hat (SAK-act. 16). In der Auflistung sämtlicher Beitragszeiten und Arbeitgeber des Beschwerdeführers gemäss seiner Einsprache vom 20. Dezember 2011 hat er die Beitragszeiten aus den Arbeitsverhältnissen bei diesen zwei Arbeitgebern (Hotel E._______ in F._______ und G._______ Hotels in D._______) selbst in diesem Umfang aufgeführt (SAK-act. 20/3). Ferner geht aus den Akten nicht hervor, dass der Beschwerdeführer aus anderen Arbeitsverhältnissen in F._______ oder in D._______ weitere, im IK-Auszug vom 5. Juli 2012 nicht aufgeführte Beitragszeiten generiert hat. Die vom Beschwerdeführer bezüglich F._______ und D._______ geltend gemachten Vorbringen vermögen daher an der Richtigkeit des IK-Auszuges vom 5. Juli 2012 nichts zu ändern.</w:t>
      </w:r>
    </w:p>
    <w:p>
      <w:r>
        <w:rPr>
          <w:b/>
        </w:rPr>
        <w:t>E. 3.2.2</w:t>
      </w:r>
    </w:p>
    <w:p>
      <w:r>
        <w:t>Hinsichtlich der Beitragsdauer aus dem Arbeitsverhältnis beim Hotel A._______ in B._______ machte der Beschwerdeführer gemäss Auflistung in seiner Einsprache vom 20. Dezember 2011 geltend, er habe von 8. Dezember 1971 bis 20. April 1972 dort gearbeitet (SAK-act. 20/3). Gemäss IK-Auszug vom 5. Juli 2012 hat er von Dezember 1971 bis März 1972 für das Hotel A._______ in B._______ gearbeitet. In den Akten findet sich ein Arbeitsvertrag des Beschwerdeführers mit dem Hotel A._______, wonach die Stelle spätestens am "ca 1.12.71" anzutreten war und der Vertrag bis "ca 15.4.72" dauerte (SAK-act. 5/19). Auf entsprechende Anfrage der SAK, ob der Beschwerdeführer auch im April 1972 für das Hotel A._______ in B._______ gearbeitet habe, bestätigte die Hotela AHV-Ausgleichskasse nach Prüfung der entsprechenden Lohnabrechnungen die Richtigkeit des Eintrages gemäss IK-Auszug von 5. Juli 2012 (SAK-act. 22 und 23). Der Beschwerdeführer machte denn in seiner Beschwerde vom 29. Juni 2012 auch nicht mehr geltend im April 1972 für das Hotel A._______ in B._______ gearbeitet zu haben. Vielmehr bestätigte er explizit die im IK-Auszug erfasste Beitragszeit von Dezember 1971 bis März 1972.</w:t>
      </w:r>
    </w:p>
    <w:p>
      <w:r>
        <w:rPr>
          <w:b/>
        </w:rPr>
        <w:t>E. 3.2.3</w:t>
      </w:r>
    </w:p>
    <w:p>
      <w:r>
        <w:t>Schliesslich machte der Beschwerdeführer gemäss Auflistung in seiner Einsprache vom 20. Dezember 2011 geltend, er habe vom 24. Dezember 1970 bis 15. Oktober 1971 für das Erholungsheim "H._______" in B._______ gearbeitet (SAK-act. 20/3). Gemäss IK-Auszug vom 5. Juli 2012 hat er im Dezember 1970 und von Januar 1971 bis September 1971 dort gearbeitet (SAK-act. 16, 21 und 24). In den Akten finden sich diesbezüglich zwei Bescheinigungen des Erholungsheims "H._______" in B._______. Gemäss Schreiben des Erholungsheims "H._______" vom 1. September 1971 sei der Beschwerdeführer seit Dezember 1970 bis zum 15. Oktober 1971 dort angestellt gewesen (SAK-act. 5/16). Demgegenüber bescheinigt das Erholungsheim "H._______" mit Schreiben vom 30. September 1971, dass der Beschwerdeführer vom 24. Dezember 1970 bis zum 30. September 1971 dort gearbeitet habe (SAK-act. 5/15). Auf entsprechende Anfrage der SAK, ob der Beschwerdeführer von Dezember 1970 bis 15. Oktober 1971 für das Erholungsheims "H._______" beschäftigt gewesen sei, bestätigte die AHV-Ausgleichskasse des Kantons I._______ nach Prüfung der entsprechenden Lohnabrechnungen die Richtigkeit des IK-Eintrages (SAK-act. 7 und 8). Der Beschwerdeführer machte denn in seiner Beschwerde vom 29. Juni 2012 auch nicht mehr geltend, dass die im IK-Auszug aufgeführten Beitragszeiten betreffend das Arbeitsverhältnis mit dem Erholungsheim "H._______" nicht korrekt sein sollen.</w:t>
      </w:r>
    </w:p>
    <w:p>
      <w:r>
        <w:rPr>
          <w:b/>
        </w:rPr>
        <w:t>E. 3.2.4</w:t>
      </w:r>
    </w:p>
    <w:p>
      <w:r>
        <w:t>Die Übrigen Einträge im IK-Auszug vom 5. Juli 2012 sind unbestritten.</w:t>
      </w:r>
    </w:p>
    <w:p>
      <w:r>
        <w:rPr>
          <w:b/>
        </w:rPr>
        <w:t>E. 3.2.5</w:t>
      </w:r>
    </w:p>
    <w:p>
      <w:r>
        <w:t>Demnach ist für die Berechnung der Rente (einmalige Abfindung) auf den IK-Auszug vom 5. Juli 2012 abzustellen (vgl. E. 3.1.3 und 3.1.4 hiervor), wonach der Beschwerdeführer eine Beitragszeit in der Schweiz von insgesamt 20 Monaten aufweist.</w:t>
      </w:r>
    </w:p>
    <w:p>
      <w:r>
        <w:rPr>
          <w:b/>
        </w:rPr>
        <w:t>E. 3.3</w:t>
      </w:r>
    </w:p>
    <w:p>
      <w:r>
        <w:t>Gemäss Art. 29quater AHVG werden die Renten nach Massgabe des durchschnittlichen Jahreseinkommens berechnet. Dieses wird ermittelt, indem die Summe der Erwerbseinkommen, von denen die versicherte Person Beiträge geleistet hat, durch die Zahl der Beitragsjahre geteilt wird.</w:t>
      </w:r>
    </w:p>
    <w:p>
      <w:r>
        <w:rPr>
          <w:b/>
        </w:rPr>
        <w:t>E. 3.3.1</w:t>
      </w:r>
    </w:p>
    <w:p>
      <w:r>
        <w:t>Der im Jahr 1946 geborene Beschwerdeführer hätte bei einem Rentenalter von 65 Jahren bei vollständiger Beitragsdauer 44 Versicherungsjahre aufweisen müssen. Gemäss dem Skalenwähler hat der Beschwerdeführer der Altersklasse 44, mit einem vollen Beitragsjahr, Anspruch auf eine Teilrente der Rentenskala 1 (vgl. Rententabellen 2009 des BSV, S. 8 und 10).</w:t>
      </w:r>
    </w:p>
    <w:p>
      <w:r>
        <w:rPr>
          <w:b/>
        </w:rPr>
        <w:t>E. 3.3.2</w:t>
      </w:r>
    </w:p>
    <w:p>
      <w:r>
        <w:t>Der Beschwerdeführer hat ein Einkommen von gesamthaft Fr. 15'466.- erzielt (SAK-act. 16). Diese Summe hat die Vorinstanz gemäss erstem IK-Eintrag im Jahr 1970 zu Recht mit dem Faktor 1.255 aufgewertet (vgl. 15'466 x 1.255 = 19'410, vgl. Art. 30 Abs. 1 AHVG und Rententabellen 2011 des BSV, S. 15) und danach durch die Beitragszeit von insgesamt 20 Monaten dividiert, anschliessend mit 12 multipliziert, um das durchschnittliche Jahreseinkommen zu berechnen, welches Fr. 11'646.- beträgt.</w:t>
      </w:r>
    </w:p>
    <w:p>
      <w:r>
        <w:rPr>
          <w:b/>
        </w:rPr>
        <w:t>E. 3.3.3</w:t>
      </w:r>
    </w:p>
    <w:p>
      <w:r>
        <w:t>Der Beschwerdeführer ist im Zeitpunkt des Rentenalters verheiratet. Da seine Ehefrau, mit welcher er seit 28. November 1976 verheiratet ist, serbische Staatsangehörige mit Wohnsitz in Serbien ist (SAK-act12/1 und 14/3), ist keine Einkommensteilung vorzunehmen (vgl. E. 3.1.5. hiervor).</w:t>
      </w:r>
    </w:p>
    <w:p>
      <w:r>
        <w:rPr>
          <w:b/>
        </w:rPr>
        <w:t>E. 3.3.4</w:t>
      </w:r>
    </w:p>
    <w:p>
      <w:r>
        <w:t>Das durchschnittliche Jahreseinkommen von Fr. 11'646.- ist gemäss der Rententabellen 2011 auf ein massgebendes durchschnittliches Jahreseinkommen von Fr. 13'920.- aufzurunden. Bei einem massgebenden durchschnittlichen Jahreseinkommen bis Fr. 13'920.- beträgt die monatliche Altersrente Fr. 26.- in der Skala 1 (Rententabellen 2011, S. 104).</w:t>
      </w:r>
    </w:p>
    <w:p>
      <w:r>
        <w:rPr>
          <w:b/>
        </w:rPr>
        <w:t>E. 3.3.5</w:t>
      </w:r>
    </w:p>
    <w:p>
      <w:r>
        <w:t>Die massgebenden ordentlichen Vollrenten gemäss Rentenskala 44 (für den Jahrgang 1946, vgl. Rententabellen 2011 des BSV, S. 8) belaufen sich im Jahre 2011 auf Fr. 1'160.- (vgl. Rententabellen 2011 des BSV, S. 18). Die monatliche Teilrente des Beschwerdeführers beträgt somit 2.24 % der entsprechenden ordentlichen Vollrente und damit weniger als einen Zehntel der entsprechenden ordentlichen Vollrente, weshalb dem Beschwerdeführer zu Recht an Stelle einer Rente eine einmalige Abfindung zugesprochen worden ist (vgl. E. 3.1.6 hiervor).</w:t>
      </w:r>
    </w:p>
    <w:p>
      <w:r>
        <w:rPr>
          <w:b/>
        </w:rPr>
        <w:t>E. 3.3.6</w:t>
      </w:r>
    </w:p>
    <w:p>
      <w:r>
        <w:t>Kapitalisiert man die monatliche Rente von Fr. 26.-, ergibt dies für den Beschwerdeführer unter Anwendung des Faktors 13,273 (Barwerttabellen, S. 60) einen Betrag von Fr. 4'141.20 (Fr. 26.- x 12 x 13,273). Da die Ehefrau des Beschwerdeführers nicht versichert ist, ist zusätzlich eine allfällige Hinterlassenenrente abzugelten. Diese berechnet sich gemäss der nachfolgenden Formel (vgl. Barwerttabellen S. 20 und Faktoren auf S. 60 ff.): Fr. 26.- x 0,8 x 12 x (18,306 - 12,355) = Fr. 1'485.40. Die Summe der geschuldeten Abfindungen beträgt somit (gerundet) Fr. 5'627.-.</w:t>
      </w:r>
    </w:p>
    <w:p>
      <w:r>
        <w:rPr>
          <w:b/>
        </w:rPr>
        <w:t>E. 3.3.7</w:t>
      </w:r>
    </w:p>
    <w:p>
      <w:r>
        <w:t>Zusammenfassend ist somit festzuhalten, dass die SAK die Abfindung für den Beschwerdeführer korrekt festgelegt hat, weshalb die Beschwerde in diesem Punkt abzuweisen ist.</w:t>
      </w:r>
    </w:p>
    <w:p>
      <w:r>
        <w:rPr>
          <w:b/>
        </w:rPr>
        <w:t>E. 4</w:t>
      </w:r>
    </w:p>
    <w:p>
      <w:r>
        <w:t>Im Übrigen ist nicht zu beanstanden, dass die Vorinstanz auf den Antrag des Beschwerdeführers auf Rückerstattung der Kirchensteuer mangels Zuständigkeit nicht eingetreten ist, zumal es sich dabei nicht um eine von der Vorinstanz zu prüfende Frage aus dem Bereich der Alters- und Hinterlassenenversicherung handelt, weshalb die Beschwerde auch in diesem Punkt abzuweisen ist.</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