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C-3599/2009 vom 11. Oktober 2011</w:t>
      </w:r>
    </w:p>
    <w:p>
      <w:r>
        <w:t>Bundesverwaltungsgericht, 2011-10-11, DE</w:t>
      </w:r>
    </w:p>
    <w:p>
      <w:r>
        <w:rPr>
          <w:b/>
        </w:rPr>
        <w:t xml:space="preserve">Quelle: </w:t>
      </w:r>
      <w:r>
        <w:t>https://mcp.opencaselaw.ch/entscheid/bvger_C-3599_2009</w:t>
      </w:r>
    </w:p>
    <w:p>
      <w:r>
        <w:t>FR: TAF C-3599/2009 du 11 octobre 2011</w:t>
      </w:r>
    </w:p>
    <w:p>
      <w:r>
        <w:t>IT: TAF C-3599/2009 del 11 ottobre 2011</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27. April 2009 zur Beschwerde legitimiert (vgl. Art. 49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(vgl.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BGE 135 II 369 E. 3.3 S. 374; BVGE 2011/1 E. 2 S. 4 mit Hinweis).</w:t>
      </w:r>
    </w:p>
    <w:p>
      <w:r>
        <w:rPr>
          <w:b/>
        </w:rPr>
        <w:t>E. 3</w:t>
      </w:r>
    </w:p>
    <w:p>
      <w:r>
        <w:t>Die angefochtene Verfügung (vgl. Sachverhalt Bst. C) erging gestützt auf das bis zum 31. Dezember 2009 geltende ASFG. Mit Wirkung auf den 1. Januar 2010 wurde dieses Gesetz umbenannt in BSDA, inhaltlich wurde es jedoch - was die Sozialhilfe an Schweizer Staatsangehörige im Ausland anbelangt - unverändert gelassen. Die Verordnung vom 26. November 1973 über Fürsorgeleisten an Auslandschweizer (ASFV, AS 1973 1983) ihrerseits wurde ohne übergangsrechtliche Regelung auf den 1. Januar 2010 durch die Verordnung vom 4. November 2009 über Sozialhilfe und Darlehen an Schweizer Staatsangehörige im Ausland (VSDA, SR 852.11) ersetzt. Der Erlass übernimmt den Inhalt des bisherigen Rechts weitgehend unverändert. In einigen Bereichen hat der Verordnungsgeber die Praxis kodifiziert, wie sie bis anhin den altrechtlichen Richtlinien und Rundschreiben entnommen werden konnte (vgl. Erläuterungen des BJ vom Dezember 2009 zur VSDA [nachfolgend: Erläuterungen] S. 1, online unter www.bj.admin.ch &gt; Themen &gt; Migration &gt; Sozialhilfe Auslandschweizer &gt; Auslandschweizer/in &gt; Erläuterungen). Der Anwendung des neuen Rechts steht daher grundsätzlich nichts entgegen. Dabei kann auf die bisherige Rechtsprechung zurückgegriffen werden (vgl. Urteile des Bundesverwaltungsgerichts C-7664/2007 vom 1. Februar 2011 E. 2.2 mit Hinweis).</w:t>
      </w:r>
    </w:p>
    <w:p>
      <w:r>
        <w:rPr>
          <w:b/>
        </w:rPr>
        <w:t>E. 4.1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Art. 6 BSDA stellt sodann den Grundsatz auf, dass Doppelbürger, deren ausländisches Bürgerrecht vorherrscht, in der Regel nicht unterstützt werden. Bei der Beurteilung des vorherrschenden Bürgerrechts kommt es auf die Umstände des Erwerbs des ausländischen Bürgerrechts, den Aufenthaltsstaat während der Kindheit und der Ausbildungszeit, die Dauer des Aufenthalts im jetzigen Aufenthaltsstaat und die Beziehung zur Schweiz an (vgl. Art. 2 Abs. 1 Bst. a - d VSDA sowie Ziff. 1.2.3. der Richtlinien des BJ vom 1. Januar 2010 zur Sozialhilfe für Auslandschweizerinnen und Auslandschweizer [nachfolgend: Richtlinien], online unter www.bj.admin.ch &gt; Themen &gt; Migration &gt; Sozialhilfe Auslandschweizer &gt;Auslandschweizer/in &gt; Richtlinien für die Behandlung von Gesuchen um Sozialhilfeunterstützung).</w:t>
      </w:r>
    </w:p>
    <w:p>
      <w:r>
        <w:rPr>
          <w:b/>
        </w:rPr>
        <w:t>E. 4.2</w:t>
      </w:r>
    </w:p>
    <w:p>
      <w:r>
        <w:t>Der 28-jährige Beschwerdeführer verfügt seit Geburt sowohl über das tschechische als auch über das schweizerische Bürgerrecht. Zwar hat er bis heute insgesamt etwas mehr als die Hälfte seines Lebens in der Tschechischen Republik verbracht, wo auch noch seine Mutter lebt. Seine Kindheit (die ersten elf Lebensjahre) und einen Teil seiner Ausbildungszeit (von Juli 2004 bis Dezember 2007) verbrachte er jedoch in der Schweiz. Den Gesuchsunterlagen ist ferner zu entnehmen (vgl. das von ihm am 3. April 2009 unterzeichnete Formular für Doppelbürger/innen), dass er Beziehungen zur Schweiz unterhält (häufige Kontakte mit Verwandten und Bekannten in Wettingen und Basel) und auch sonst mit der Schweiz verbunden ist (regelmässige Lektüre schweizerischer Zeitungen oder Zeitschriften). Bei dieser Sachlage kann nicht angenommen werden, das ausländische Bürgerrecht herrsche gemäss Art. 6 BSDA vor.</w:t>
      </w:r>
    </w:p>
    <w:p>
      <w:r>
        <w:rPr>
          <w:b/>
        </w:rPr>
        <w:t>E. 5</w:t>
      </w:r>
    </w:p>
    <w:p>
      <w:r>
        <w:t>Die Vorinstanz verweigert in casu die Ausrichtung von Sozialhilfeleistungen unter Hinweis auf ihre Richtlinien (vgl. Ziff. 2.3.7.), wonach Studien an Universitäten und vergleichbare höhere Ausbildungen nicht aus Mitteln der Sozialhilfe finanziert werden. Tatsächlich wäre eine diesbezügliche Ausrichtung von Sozialhilfegeldern an Auslandschweizer eine Privilegierung gegenüber Studierenden in der Schweiz, welche ihre Hochschulausbildung in der Regel ebenfalls nicht durch die Sozialhilfe finanzieren lassen können. Die Richtlinien sehen jedoch vor, dass Aus- oder Weiterbildungskosten ausnahmsweise auch für Erwachsene anerkannt werden, wenn damit die wirtschaftliche Selbständigkeit entscheidend gefördert werden kann. Ob ein solcher Ausnahmetatbestand vorliegend erfüllt ist oder nicht, kann - wie nachfolgend aufgezeigt - letztlich offen gelassen werden.</w:t>
      </w:r>
    </w:p>
    <w:p>
      <w:r>
        <w:rPr>
          <w:b/>
        </w:rPr>
        <w:t>E. 6.1</w:t>
      </w:r>
    </w:p>
    <w:p>
      <w:r>
        <w:t>Gemäss Art. 5 Abs. 1 Bst. c VSDA hat eine Person u.a. nur dann Anspruch auf wiederkehrende Leistungen, wenn ihr Verbleib im Aufenthaltsstaat aufgrund der gesamten Umstände gerechtfertigt ist, namentlich wenn sie sich schon seit mehreren Jahren im Aufenthaltsstaat aufhält (Ziff. 1), mit grosser Wahrscheinlichkeit in absehbarer Zeit im Aufenthaltsstaat wirtschaftlich selbständig wird (Ziff. 2) oder nachweist, dass ihr wegen enger familiärer Bande oder anderen Beziehungen die Heimkehr nicht zugemutet werden kann (Ziff. 3). Ist der Verbleib im Aufenthaltsstaat aufgrund dieser Umstände nicht gerechtfertigt, kann der gesuchstellenden Person die Heimkehr in die Schweiz nahe gelegt werden (vgl. Art. 11 Abs. 1 BSDA, Ziff. 1.2.4. der Richtlinien sowie S. 3 der Erläuterungen).</w:t>
      </w:r>
    </w:p>
    <w:p>
      <w:r>
        <w:rPr>
          <w:b/>
        </w:rPr>
        <w:t>E. 6.2</w:t>
      </w:r>
    </w:p>
    <w:p>
      <w:r>
        <w:t>Der Beschwerdeführer hält sich nach seinem Studium und dem Bankpraktikum in der Schweiz erst seit dem 1. Januar 2007 und somit weniger als fünf Jahre wieder in der Tschechischen Replik auf. Erst bei fünf (ununterbrochenen) Jahren geht die Praxis von einer mehrjährigen Aufenthaltsdauer als Voraussetzung für die Ausrichtung einer wiederkehrenden Leistung aus (vgl. Ziff. 1.2.4 der Richtlinien). Jungen Erwachsenen im erwerbsfähigen Alter kann - wie die Vorinstanz in ihrer Verfügung zutreffend festhielt - eine Rückkehr in die Schweiz sogar dann zugemutet werden, wenn sie sich seit mehr als fünf Jahren im Ausland aufhalten, die Aussicht auf ein Erwerbsleben im Aufenthaltsstaat jedoch als gering bezeichnet werden muss. Indem der Beschwerdeführer davon spricht, nach Abschluss des Studiums wieder in der Schweiz eine Erwerbstätigkeit aufzunehmen, schätzt er selbst die Wahrscheinlichkeit, in absehbarer Zeit im Aufenthaltsstaat wirtschaftlich selbständig zu werden, nicht als gross ein. Hinzu kommt, dass er den Lebensunterhalt im Aufenthaltsstaat bisher nicht durch eine Erwerbstätigkeit finanziert hat, was ebenfalls gegen eine Leistung vor Ort spricht (vgl. Ziff. 1.2.4. der Richtlinien). Zwar lebt seine Mutter in Tschechien. Der Beschwerdeführer ist aber nicht mit einer Person des Aufenthaltsstaates verheiratet, was allenfalls gegen eine Heimkehr sprechen würde. Im Übrigen lebte er während seines Studien- bzw. Ausbildungsaufenthalts in der Schweiz über zwei Jahre getrennt von der Mutter und wohnt gemäss seinen eigenen Angaben auch heute allein.</w:t>
      </w:r>
    </w:p>
    <w:p>
      <w:r>
        <w:rPr>
          <w:b/>
        </w:rPr>
        <w:t>E. 6.3</w:t>
      </w:r>
    </w:p>
    <w:p>
      <w:r>
        <w:t>Daraus folgt, dass der Beschwerdeführer keinen Anspruch auf monatliche Unterstützungsleistungen gestützt auf das BSDA hat und ihm die Heimkehr in die Schweiz zugemutet werden kann. Dass eine allfällige Unterstützung in der Schweiz mehr kosten würde als im Ausland, ist dabei unerheblich (vgl. Art. 5 Abs. 2 VSDA und Erläuterungen S. 3).</w:t>
      </w:r>
    </w:p>
    <w:p>
      <w:r>
        <w:rPr>
          <w:b/>
        </w:rPr>
        <w:t>E. 7</w:t>
      </w:r>
    </w:p>
    <w:p>
      <w:r>
        <w:t>Zusammenfassend ergibt sich, dass die Vorinstanz dem Beschwerdeführer die Ausrichtung von Sozialhilfeleistungen nach dem ASFG bzw. BSDA zu Recht verweigert hat. Die angefochtene Verfügung erweist sich als bundesrechtskonform (vgl. Art. 49 VwVG). Die Beschwerde ist daher abzuweisen.</w:t>
      </w:r>
    </w:p>
    <w:p>
      <w:r>
        <w:rPr>
          <w:b/>
        </w:rPr>
        <w:t>E. 8</w:t>
      </w:r>
    </w:p>
    <w:p>
      <w:r>
        <w:t>Bei diesem Ausgang des Verfahrens würde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