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C-3593/2009 vom 18. Juni 2012</w:t>
      </w:r>
    </w:p>
    <w:p>
      <w:r>
        <w:t>Bundesverwaltungsgericht, 2012-06-18, DE</w:t>
      </w:r>
    </w:p>
    <w:p>
      <w:r>
        <w:rPr>
          <w:b/>
        </w:rPr>
        <w:t xml:space="preserve">Quelle: </w:t>
      </w:r>
      <w:r>
        <w:t>https://mcp.opencaselaw.ch/entscheid/bvger_C-3593_2009</w:t>
      </w:r>
    </w:p>
    <w:p>
      <w:r>
        <w:t>FR: TAF C-3593/2009 du 18 juin 2012</w:t>
      </w:r>
    </w:p>
    <w:p>
      <w:r>
        <w:t>IT: TAF C-3593/2009 del 18 giugno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In formeller Hinsicht wird gerügt, die angefochtene Verfügung sei ungenügend begründet. Gemäss Art. 35 Abs. 1 VwVG sind die Behörden verpflichtet, schriftli­che Verfügungen zu begründen. Die Begründungspflicht ist Teilgehalt des Anspruchs auf rechtliches Gehör im Sinne von Art. 29 Abs. 2 der Bundesverfassung der Schweizerischen Eidgenossenschaft vom 18. April 1999 (BV, SR 101). Sie soll verhindern, dass die Behörden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133 III 439 E. 3.3 S. 445 mit weiteren Hinweisen; vgl. auch BVGE 2007/27 E. 5.5.2 mit Hinweisen, sowie Lorenz Kneubühler, in: Christoph Auer/Markus Müller/Benjamin Schindler [Hrsg.], Kommentar zum Bundesgesetz über das Verwaltungsverfahren [VwVG], Zürich/St. Gallen 2008, Rz. 4 ff. und insb. 9 ff. zu Art. 35 VwVG). Eine Verletzung des Gehörsanspruchs führt grundsätzlich zur Aufhe­bung der angefochtenen Verfügung und Rückweisung der Sache an die Vorinstanz. Im Falle der Verletzung der Begründungspflicht kann der Mangel auf Rechtsmittelebene geheilt werden, wenn die Vorinstanz die Entscheidsgründe in einer den gesetzlichen Anforderungen genügenden Weise dar­legt und die Rechtsmittelinstanz der betroffenen Partei im Rahmen eines zweiten Schriftenwechsels die Möglichkeit einräumt, sich dazu zu äus­sern (vgl. Kneubühler, a.a.O., Rz. 19 ff. zu Art. 35 mit Hinweisen).</w:t>
      </w:r>
    </w:p>
    <w:p>
      <w:r>
        <w:rPr>
          <w:b/>
        </w:rPr>
        <w:t>E. 3.2</w:t>
      </w:r>
    </w:p>
    <w:p>
      <w:r>
        <w:t>Die Begründung der angefochtenen Verfügung ist in der Tat knapp ausgefallen und ziemlich summarisch gehalten. Es geht daraus aber ohne weiteres hervor, aus welchen Gründen die Vorinstanz ein zehnjähriges Einreiseverbot für angezeigt erachtete. Auch wenn frühere, hierzulande beanstandete Verhaltensweisen des Beschwerdeführers (vgl. Bst. A des Sachverhalts) - die diesem hinlänglich bekannt sein dürften und auf welche in der Vernehmlassung in allgemeiner Weise Bezug genommen wird - nicht im Einzelnen aufgeführt sind, wird der diesbezügliche Hauptvorwurf mit dem Hinweis auf die Deliktsart (Widerhandlung gegen das Betäubungsmittelgesetz) zumindest im Ansatz konkretisiert. Dies erweist sich im dargelegten Kontext als ausreichend. Die zur Anwendung kommende Rechtsgrundlage (Art. 67 Abs. 1 Bst. a der damaligen Fassung des AuG) ist dabei ebenfalls aufgeführt. Der Beschwerdeführer war denn auch auf der Grundlage dieser Begründung durchaus in der Lage, die Verfügung sachgerecht anzufechten (vgl. Urteil des Bundesverwaltungsgerichts C-4752/2010 vom 26. April 2012 E. 4.2.). Die erhobene Rüge der Gehörsverletzung erweist sich demnach als unbegründet.</w:t>
      </w:r>
    </w:p>
    <w:p>
      <w:r>
        <w:rPr>
          <w:b/>
        </w:rPr>
        <w:t>E. 4.1</w:t>
      </w:r>
    </w:p>
    <w:p>
      <w:r>
        <w:t>Mit Inkrafttreten des AuG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nun auf Gesuch hin oder von Amtes wegen (vgl. Art. 126 Abs. 1 AuG e contra­rio; ferner BVGE 2008/1 E. 2 mit Hinweisen). Wenn bei der Anwen­dung des neuen Rechts auf Ver­hältnisse abgestellt wird, die - wie vor­liegend - zum Teil noch unter der Herrschaft des alten Rechts entstan­den sind und beim Inkrafttre­ten des neuen Rechts andauern, liegt eine unechte Rückwirkung vor, die - vorbehältlich des Vertrauensschutz­prinzips - grundsätzlich zuläs­sig ist (vgl. Ulrich Häfelin/Georg Müller/Felix Uhlmann, Allgemeines Ver­waltungsrecht, 6. vollständig überarbeitete Aufl., Zürich/St. Gallen 2010, Rz. 337 ff.).</w:t>
      </w:r>
    </w:p>
    <w:p>
      <w:r>
        <w:rPr>
          <w:b/>
        </w:rPr>
        <w:t>E. 4.2</w:t>
      </w:r>
    </w:p>
    <w:p>
      <w:r>
        <w:t>Wird gegen eine Person, welche nicht Angehörige eines Staates ist, der durch eines der Schengen-Assoziierungsabkommens gebunden ist (vgl. An­hang 1 Ziffer 1 AuG),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5.1</w:t>
      </w:r>
    </w:p>
    <w:p>
      <w:r>
        <w:t>Das in Art. 67 AuG geregelte Einreiseverbot entspricht der alt­rechtlichen Einreisesperre des Art. 13 ANAG.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(Bst. a) oder die betroffene Person der Ausreiseverpflichtung nicht innert der angesetzten Frist nachgekommen ist (Bst. b). Es kann nach Art. 67 Abs. 2 AuG sodann gegen ausländische Per­sonen erlassen werden, die gegen die öffentliche Sicherheit und Ordnung in der Schweiz oder im Ausland verstossen haben oder diese gefährden (Bst. a), Sozial­hilfekosten verursacht haben (Bst. b) oder in Vorbereitungs-, Ausschaffungs- oder Durchsetzungshaft ge­nommen worden sind (Bst. c). Hinsichtlich der Dauer der Fernhaltemassnahme hält Art. 67 Abs. 3 AuG fest, dass das Einreiseverbot für eine Dauer von höchstens fünf Jahren verhängt wird, jedoch auch für eine längere Dauer verfügt werden kann, wenn die betroffene Person eine schwerwiegende Gefahr für die öffentliche Sicherheit und Ordnung darstellt. Schliesslich kann die verfügende Behörde nach Art. 67 Abs. 5 AuG aus humanitären oder anderen wichtigen Gründen von der Verhängung eines Einreiseverbots absehen oder ein Einreiseverbot vollständig oder vorübergehend aufheben. Die bisher bestehende Praxis der Vorinstanz bei der Ansetzung von Fernhaltemassnahmen ist mit den obgenannten Grundsätzen vereinbar (vgl. BBl 2009 8896 ad Art. 67 Abs. 3 in fine AuG sowie das erwähnte Urteil des Bundesverwaltungsgerichts C-7110/2010 E. 6.1. mit Hinweis).</w:t>
      </w:r>
    </w:p>
    <w:p>
      <w:r>
        <w:rPr>
          <w:b/>
        </w:rPr>
        <w:t>E. 5.2</w:t>
      </w:r>
    </w:p>
    <w:p>
      <w:r>
        <w:t>Wie bereits die altrechtliche Einreisesperre stellt das Einreiseverbot keine Sanktion dar (eine solche erweist sich definitions- bzw. naturgemäss als eine Reaktion - im Sinne zumindest auch einer Ahndung - auf vergangenes Fehlverhalten); sie bildet eine Massnahme zur Abwendung einer künftigen Störung der öffentlichen Sicherheit und Ordnung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(Botschaft, a.a.O., 3809; vgl. auch Rainer J. Schweizer/Patrick Sutter/Nina Widmer, in: Rainer J. Schweizer [Hrsg.], Sicherheits- und Ordnungsrecht des Bundes, SBVR Bd. III/1, Basel 2008, Teil B, Rz. 12 und 13 mit Hinweisen). Die Verhängung eines Einreiseverbots knüpft somit an das Bestehen eines Risikos einer künftigen Gefährdung an. Es ist daher gestützt auf die gesamten Umstände des Einzelfalls eine entsprechende Prognose zu fällen, wobei naturgemäss auf die Vergangenheit abgestellt werden muss, mithin in erster Linie auf das vergangene Verhalten der betroffenen Person. Ein vergangenes deliktisches Verhalten ist sodann geeignet, einen Hinweis auf eine Gefährdung in der Zukunft zu liefern (vgl. auch Caterina Nägeli/Nik Schoch, in: Peter Uebersax/Beat Rudin/Thomas Hugi Yar/Thomas Geiser [Hrsg.], Ausländerrecht, 2. Aufl., Basel 2009, Rz. 22.177, sowie zum Ganzen kritisch: Paul-Lukas Good/Patrick Sutter, Einreiseverbot als Sanktion für vergangenes Verhalten oder Mittel zur Gefahrenabwehr?, Sicherheit &amp; Recht 3/2010, S. 199 ff.). Aus diesem Grund verknüpft Art. 67 Abs. 2 Bst. a AuG die Verhängung einer solchen Massnahme unter anderem mit einem (bereits erfolgten) Verstoss gegen die fraglichen Polizeigüter. Art. 80 Abs. 1 der Verordnung vom 24. Oktober 2007 über Zulassung, Aufenthalt und Erwerbstätigkeit (VZAE, SR 142.201) konkretisiert lediglich, wie der Begriff des "Verstosses" nach Art. 67 Abs. 2 Bst. a AuG zu verstehen ist; so hält er fest, dass (unter anderem) eine Missachtung gesetzlicher Vorschriften und behördlicher Verfügungen dazu zählt (Bst. a). Das Bundesgericht hat in einem Verfahren betreffend Bewilligungswiderruf in grundlegender Weise festgehalten, eine "längerfristige Freiheitsstrafe" (welche nach Art. 62 Bst. b erster Satzteil AuG einen Widerrufsgrund darstellt) liege vor, wenn gegen eine Person eine Freiheitsstrafe von mehr als einem Jahr ausgefällt worden sei (vgl. BGE 135 II 377 E. 4.2 S. 379 ff.). A fortiori kann im Zusammenhang mit der Verhängung einer Fernhaltemassnahme an diese Rechtsprechung angeknüpft bzw. eine solche Freiheitsstrafe im Rahmen der zu stellenden Prognose gewürdigt werden.</w:t>
      </w:r>
    </w:p>
    <w:p>
      <w:r>
        <w:rPr>
          <w:b/>
        </w:rPr>
        <w:t>E. 5.3</w:t>
      </w:r>
    </w:p>
    <w:p>
      <w:r>
        <w:t>Zu berücksichtigen gilt es im Weitern, dass Drogenhandel nebst Gewalt- und Sexualdelikten zu den Ver­haltensweisen gehört, die besonders hochrangige Rechtsgüter betreffen und die daher aus präventivpolizeilicher Sicht einen strengen Beurteilungsmass­stab rechtfertigen (BGE 125 II 521 E. 4a/aa S. 526 f.; Ur­teil des Bundesgerichts 2A.308/2004 vom 4. Oktober 2004 E. 3.3; Alain Wurzburger, La jurisprudence récente du Tribunal fédéral en ma­tière de police des étrangers, in: RDAF 53/1997 I, S. 42). Das bedeutet un­ter anderem, dass zum Schutz der Rechtsgenossen nur ein geringes Ri­siko des Rückfalls einer einschlägig vorbestraften Person in Kauf genom­men werden darf (Urteil des Bundesverwaltungsgerichts C-2196/2008 vom 17. März 2011 E. 9.3.3.). Widerhandlungen gegen das Betäubungsmittelgesetz sind ohne weiteres als Verstoss gegen die öffentliche Sicherheit und Ordnung zu qualifizieren und können daher - wie bereits unter der Geltung des ANAG bzw. der alten Fassung des AuG - die Anordnung von (zum Teil langen) Fernhaltemassnahmen nach sich ziehen (vgl. dazu die Urteile des Bundesverwaltungsgerichts C 20/2010 vom 12. Oktober 2010 E. 5 f., C-4509/2009 vom 7. Januar 2010 E. 6 f. und C-6199/2008 vom 24. August 2009 E. 5.1 ff. und 6.2 mit zahlreichen weiteren Hinweisen auf die bundesverwaltungsgerichtliche Rechtsprechung; vgl. auch BVGE 2008/24 E. 4.3 sowie zum Ganzen auch BGE 131 II 352 E. 4.3.1 S. 359 f. und BGE 125 II 521 E. 4a/aa S. 526 f.). Zudem erweist sich in Konstellationen, in welchen kein sogenannter Vertragsausländer betroffen ist, auch die Berücksichtigung generalpräventiver Aspekte als zulässig (vgl. Urteil des Bundesgerichts 2C_542/2009 vom 15. Dezember 2009 E. 3.2 mit Hinweisen [betreffend ebenfalls einen Bewilligungswiderruf - wiederum a fortiori]).</w:t>
      </w:r>
    </w:p>
    <w:p>
      <w:r>
        <w:rPr>
          <w:b/>
        </w:rPr>
        <w:t>E. 6.1</w:t>
      </w:r>
    </w:p>
    <w:p>
      <w:r>
        <w:t>Dem Beschwerdeführer wird in der angefochtenen Verfügung vorgeworfen, aufgrund seiner Widerhandlungen gegen das Betäubungsmittelgesetz liege ein Verstoss gegen die öffentliche Sicherheit und Ordnung vor. In der Vernehmlassung wird in allgemeiner Weise auf dessen mehrfache und teilweise schwere Widerhandlungen gegen die geltende Rechtsordnung verwiesen.</w:t>
      </w:r>
    </w:p>
    <w:p>
      <w:r>
        <w:rPr>
          <w:b/>
        </w:rPr>
        <w:t>E. 6.2</w:t>
      </w:r>
    </w:p>
    <w:p>
      <w:r>
        <w:t>Aus den umfangreichen Vorakten geht hervor, dass der Beschwerdeführer seit seiner Einreise in die Schweiz immer wieder mit dem Gesetz in Konflikt gekommen ist. So wurde er am 2. August 2004 von der Bezirksanwaltschaft Horgen wegen Zuwiderhandlung gegen ausländerrechtliche Bestimmungen zu einer bedingten Gefängnisstrafe von 30 Tagen verurteilt. Am 7. Januar 2005 erfolgte durch die Staatsanwaltschaft Zürich-Sihl eine weitere strafrechtliche Verurteilung (60 Tage Gefängnis unbedingt), wiederum wegen Verstosses gegen aufenthaltsrechtliche Bestimmungen, nachdem der Beschwerdeführer - unter falscher Identität - erfolglos ein Asylverfahren in der Schweiz durchlaufen hatte und in der Folge seiner Ausreisepflicht nicht nachgekommen war. Wegen Hausfriedensbruch erhielt er am 6. Mai 2005 von der Staatsanwaltschaft Limmattal/Albis eine weitere 14-tägige unbedingte Gefängnisstrafe. Allein schon diese strafrechtlichen Verfehlungen lassen darauf schliessen, dass der Beschwerdeführer offensichtlich Mühe bekundet, sich über ei­nen längeren Zeitraum hinweg an die geltende Rechtsordnung zu halten.</w:t>
      </w:r>
    </w:p>
    <w:p>
      <w:r>
        <w:rPr>
          <w:b/>
        </w:rPr>
        <w:t>E. 6.3</w:t>
      </w:r>
    </w:p>
    <w:p>
      <w:r>
        <w:t>Aus fremdenpolizeilicher Sicht negativ ins Gewicht fallen insbesondere seine Verstösse gegen die Betäubungsmittelgesetzgebung. So wur­de der Beschwerdeführer vom Bezirksgericht Winterthur mit Strafurteil vom 28. Juni 2006 des Verbrechens im Sinne von Art. 19 Ziff. 1 Abs. 4 bis 6 i.V.m. Art. 19 Ziff. 2 Bst. a BetmG für schuldig befunden (siehe dazu BGE 109 IV 143 E. 3b S. 144 f.) und zu einer unbedingten Zuchthausstrafe von 14 Monaten verurteilt. Die Strafbehörde warf ihm dabei vor, von Anfang November 2005 bis zu seiner Verhaftung im März 2006 insgesamt rund 50 Gramm Kokain verkauft zu haben. Dem­entsprechend hat das Strafgericht sein Verschulden als nicht leicht gewertet. Der Beschwerdeführer sei zwar als Kleinhändler in das Drogengeschäft eingestiegen, sei jedoch nicht selbst süchtig gewesen; beim Verkauf sei es ihm lediglich um den finanziellen Profit gegangen. Laut den Ausführungen des Verwaltungsgerichts des Kantons Thurgau im Verfahren betreffend Aufenthaltsregelung (Urteil vom 27. Oktober 2010, vgl. Bst. I des Sachverhalts) habe der Beschwerdeführer eine erhebliche kriminelle Energie gezeigt und sich auch durch Verurteilungen und das Ansetzen von Probezeiten nicht vom Drogenhandel abhalten lassen. So habe er innerhalb weniger Monate als Nichtsüchtiger in reiner Bereicherungsabsicht eine nicht unerhebliche Menge Kokain verkauft.</w:t>
      </w:r>
    </w:p>
    <w:p>
      <w:r>
        <w:rPr>
          <w:b/>
        </w:rPr>
        <w:t>E. 6.4</w:t>
      </w:r>
    </w:p>
    <w:p>
      <w:r>
        <w:t>Ausländische Straftäter, die durch Verbreitung harter Drogen die Gesundheit anderer gefährden oder beeinträchtigen, sind während einer gewissen Zeit von der Schweiz fernzuhalten. Damit soll der weiteren Ausbreitung des verbotenen Handels mit Betäubungsmitteln entgegengewirkt werden. Aufgrund der Zunahme solcher Taten ist zum Schutz der Allgemeinheit durch eine kontinuierliche und strenge Verwaltungspraxis zu verdeutlichen, dass schwere Widerhandlungen gegen das Betäubungsmittelgesetz mit langjährigen Fernhaltemassnahmen geahndet werden. Der Schutz der öffentlichen Sicherheit und Gesundheit ist dabei durch Abschreckung nicht nur des jeweiligen Straftäters, sondern auch anderer potenzieller Rechtsbrecher weitest möglich zu gewährleisten (vgl. BGE 131 II 352 E. 4.3.1 S. 359 f., mit Hinweis oder das Urteil des Bundesverwaltungsgerichts C-2681/2010 vom 6. Mai 2011 E. 5.4. mit Hinweisen). Verurteilungen zu Freiheitsstrafen wegen Drogendelikten führten denn auch nach altem Recht - selbst bei lediglich einer Verurteilung - regelmässig zur Anordnung einer (langjährigen) Fernhaltemassnahme (siehe beispielsweise Urteile des Bundesverwaltungsgerichts C-8211/2007 vom 16. Mai 2008 E. 5.2 oder C-137/2006 vom 31. März 2008 E. 6.8). Die Voraussetzungen für ein Einreiseverbot gemäss Art. 67 Abs. 1 Bst. a AuG in der Fassung vom 1. Januar 2008 bzw. Art. 67 Abs. 2 Bst. a AuG in der Fassung vom 1. Januar 2011 sind - entgegen der Ansicht des Beschwerdeführers - zweifelsohne erfüllt.</w:t>
      </w:r>
    </w:p>
    <w:p>
      <w:r>
        <w:rPr>
          <w:b/>
        </w:rPr>
        <w:t>E. 7</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a.a.O., Rz. 613 ff.).</w:t>
      </w:r>
    </w:p>
    <w:p>
      <w:r>
        <w:rPr>
          <w:b/>
        </w:rPr>
        <w:t>E. 7.1</w:t>
      </w:r>
    </w:p>
    <w:p>
      <w:r>
        <w:t>Mit Blick auf die Dauer der verhängten Massnahme von Belang er­scheint, dass der Beschwerdeführer, der während seines Aufenthaltes in der Schweiz wiederholt strafrechtlich negativ in Erscheinung getreten ist, aus rein finanziellen Motiven bereit war, durch Drogenhandel die Gesundheit einer Vielzahl von Menschen erheblichen Gefahren auszusetzen. Mitzuberücksichtigen gilt es ferner, dass er nicht selbständig vom Betäubungsmittelhandel Abstand nahm, sondern erst infolge seiner Verhaftung. Sein Verhalten wiegt aus präventivpolizeilicher Sicht schwer. Die Versuche des Parteivertreters, die Schwere seines deliktischen Verhaltens zu relativieren, erweisen sich als unbehelflich. Aufgrund der im Betäubungsmittelbereich verübten Straftaten und insbesondere der massiven Gefährdung vieler (drogenabhängiger) Personen musste der Beschwerdeführer damit rechnen, über Jahre hinweg als Risikofaktor für die öffentliche Sicherheit und Ordnung eingestuft zu werden (vgl. in diesem Sinne - auf der Grundlage anderer Straftaten - BGE 130 II 493 E. 5 S. 504), was grundsätzlich eine Fernhaltemassnahme von über fünf Jahren rechtfertigt (vgl. Art. 67 Abs. 3 in fine AuG). Zu berücksichtigen gilt es in diesem Zusammenhang, dass bei schweren Straftaten - wozu auch Drogendelikte der vorliegenden Art gehören - in fremdenpolizeilicher Hinsicht selbst ein geringes Restrisiko nicht in Kauf genommen werden muss (BGE 130 II 176 E. 4.2 bis E. 4.4 S. 185 ff. mit Hinweisen). Gemäss ständiger (höchstrichterlicher) Rechtsprechung besteht ein erhebliches öffentliches Interesse an der Fernhaltung ausländischer Drogenhändler (vgl. Urteile des Bundesgerichts 2C_76/2011 vom 26. Juli 2011 E. 3.3 sowie 2C_463/2011 vom 23. August 2011 E. 2.4).</w:t>
      </w:r>
    </w:p>
    <w:p>
      <w:r>
        <w:rPr>
          <w:b/>
        </w:rPr>
        <w:t>E. 7.2</w:t>
      </w:r>
    </w:p>
    <w:p>
      <w:r>
        <w:t>Schliesslich argumentiert der Parteivertreter, die zuständigen Be­hörden hätten im Rahmen der Verhältnismässigkeitsprüfung Art. 8 EMRK mitzuberücksichtigen. Zunächst ist hervorzuheben, dass allfällige Einschränkungen des Privat- bzw. Familienlebens des Beschwerdeführers im vorliegenden Zusammenhang aufgrund sach­li­cher und funktioneller Unzuständigkeit des Bundesverwaltungs­gerichts nicht Verfahrensgegenstand sein können, soweit sie auf das Feh­len ei­nes dauer­haf­ten Aufent­halts­rechts in der Schweiz zurück­zu­füh­ren sind (siehe das Urteil des Bundesverwaltungsgerichts C 4509/2009 vom 7. Januar 2010 E. 7.3. mit weiteren Hinweisen). Die Erteilung und Verlängerung von Aufenthalts­bewilligungen fällt grundsätzlich in die Zu­stän­digkeit der Kantone, wo­bei im Falle einer Bewilligungserteilung auch das bestehende Einreise­verbot aufzuheben wäre (vgl. Urteil des Bundesgerichts 2C_793/2008 vom 27. März 2009 E. 3.2 sowie die vorinstanzliche Vernehmlassung vom 6. August 2009). Dem Beschwerdeführer wurde die Erteilung der Aufenthaltsbewilligung durch die Behörden des Kantons Thurgau bzw. das Bundesgericht verweigert. Die Pflege regelmässiger persönlicher Kontakte zu seiner Schweizer Ehefrau scheitert daher bereits an seinem fehlenden Anwesenheitsrecht hierzulande. Somit stellt sich im vorliegenden Verfahren nurmehr die Frage, ob die über die Verweigerung des Aufenthaltsrechts hinausgehende, durch das Einreiseverbot zusätzlich bewirkte Erschwernis vor Art. 8 Ziff. 1 EMRK (und Art. 13 Abs. 1 der Bundesverfassung der Schweize­rischen Eidgenossenschaft vom 18. April 1999 [BV, SR 101]) stand­hält.</w:t>
      </w:r>
    </w:p>
    <w:p>
      <w:r>
        <w:rPr>
          <w:b/>
        </w:rPr>
        <w:t>E. 7.3</w:t>
      </w:r>
    </w:p>
    <w:p>
      <w:r>
        <w:t>Aus den vorstehenden Ausführungen geht hervor, dass sich der Beschwerdeführer derzeit nur zu Besuchszwecken in der Schweiz auf­halten dürfte. Eine Aufhebung des Einreiseverbots führte demnach le­diglich dazu, dass er den allgemeinen, für Staatsangehörige aus Nigeria geltenden Einreisebestimmungen (insbesondere der Visumspflicht) unterstünde (vgl. Art. 4 Abs. 1 der Verordnung vom 22. Oktober 2008 über die Einreise und die Visumerteilung [VEV, SR 142.204] mit Ver­weis auf die Verordnung [EG] Nr. 539/2001 des Rates vom 15. März 2001, welche im Anhang I eine Liste von Drittländern enthält - darun­ter Nigeria - deren Staatsangehörige beim Überschreiten der Aussen­grenzen der Schengen-Mitgliedstaaten im Besitze eines Visums sein müssen). Er könnte somit ohnehin nicht visumsfrei in die Schweiz einreisen. Die Wirkungen des Einreiseverbots bestehen zudem nicht darin, dass dem Beschwerdeführer während dessen Geltungsdauer Besuchsauf­enthalte bei ihm nahe stehenden Personen in der Schweiz schlichtweg untersagt wären. Es steht ihm vielmehr die Mög­lichkeit of­fen, aus wichtigen Grün­den mittels begründetem Gesuch die zeitweili­ge Sus­pension der an­geordneten Fernhaltemass­nahme zu beantragen (Art. Art. 67 Abs. 5 AuG). Die Suspension wird aber praxisgemäss nur für eine kurze und klar begrenzte Zeit gewährt (zum Ganzen wiederum das Urteil des Bundesverwaltungsgerichts C-4509/2009 E. 7.4. mit Hinweisen). Den geltend gemachten privaten Interessen der Eheleute kann somit im dargelegten Umfang und Rahmen Rechnung getragen werden. Ob in dieser, in erster Linie administrati­ven Erschwernis bereits ein rechtfertigungsbe­dürftiger Eingriff in das Familienleben begründet ist, kann offen blei­ben. Selbst wenn von einem unter dem Gesichtspunkt von Art. 13 Abs. 1 BV und Art. 8 EMRK relevanten Eingriff ausgegangen würde, wäre ein solcher unter den konkreten Begebenheiten gestützt auf Art. 8 Ziff. 2 EMRK als gerechtfertigt zu qualifizieren. In neueren Urteilen des Bundesgerichts (in Verfahren betreffend jeweils das Anwesenheitsrecht) werden bei der im Rahmen von Art. 8 EMRK vorzunehmenden Interessenabwägung und den diesbezüglich einzubeziehenden Gesichtspunkten explizit ordnungs- und sicherheitspolizeiliche Interessen vorbehalten (BGE 135 I 143 E. 4 insb. E. 4.1 in fine und 4.4 S. 150 ff., BGE 135 I 153 E. 2.2.4 S. 158 sowie BGE 136 I 285 E. 5.3 S. 289). Zweifellos erreicht das deliktische Verhalten des Beschwerdeführers auch unter diesem Blickwinkel die erforderliche Schwere, welche ohne weiteres einen Eingriff in das Privat- und Familienleben als gerechtfertigt erscheinen liesse.</w:t>
      </w:r>
    </w:p>
    <w:p>
      <w:r>
        <w:rPr>
          <w:b/>
        </w:rPr>
        <w:t>E. 7.4</w:t>
      </w:r>
    </w:p>
    <w:p>
      <w:r>
        <w:t>Eine wertende Gewichtung der sich entgegenstehenden Interes­sen führt das Bundesverwaltungsgericht daher zum Schluss, dass das auf zehn Jahre be­fristete Einreiseverbot sowohl im Grundsatz als auch in Bezug auf seine Dauer eine unter Berücksichtigung der gängigen Praxis in vergleichbaren Fällen verhältnismässige und angemessene Massnahme zum Schutz der öffentlichen Sicherheit und Ordnung dar­stellt.</w:t>
      </w:r>
    </w:p>
    <w:p>
      <w:r>
        <w:rPr>
          <w:b/>
        </w:rPr>
        <w:t>E. 8</w:t>
      </w:r>
    </w:p>
    <w:p>
      <w:r>
        <w:t>Aus diesen Erwägungen ergibt sich, dass die angefochtene Verfügung im Lichte von Art. 49 VwVG nicht zu beanstanden ist. Die Beschwerde ist deshalb abzuweisen.</w:t>
      </w:r>
    </w:p>
    <w:p>
      <w:r>
        <w:rPr>
          <w:b/>
        </w:rPr>
        <w:t>E. 9</w:t>
      </w:r>
    </w:p>
    <w:p>
      <w:r>
        <w:t>Dem Ausgang des Verfahrens entsprechend wird der unterliegende Beschwerdeführer kostenpflichtig (Art. 63 Abs. 1 VwVG). Die Verfahrenskosten sind auf Fr. 700.-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