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C-3591/2008 vom 21. Oktober 2011</w:t>
      </w:r>
    </w:p>
    <w:p>
      <w:r>
        <w:t>Bundesverwaltungsgericht, 2011-10-21, DE</w:t>
      </w:r>
    </w:p>
    <w:p>
      <w:r>
        <w:rPr>
          <w:b/>
        </w:rPr>
        <w:t xml:space="preserve">Quelle: </w:t>
      </w:r>
      <w:r>
        <w:t>https://mcp.opencaselaw.ch/entscheid/bvger_C-3591_2008</w:t>
      </w:r>
    </w:p>
    <w:p>
      <w:r>
        <w:t>FR: TAF C-3591/2008 du 21 octobre 2011</w:t>
      </w:r>
    </w:p>
    <w:p>
      <w:r>
        <w:t>IT: TAF C-3591/2008 del 21 ottobre 2011</w:t>
      </w:r>
    </w:p>
    <w:p>
      <w:pPr>
        <w:pStyle w:val="Heading2"/>
      </w:pPr>
      <w:r>
        <w:t>Regeste</w:t>
      </w:r>
    </w:p>
    <w:p>
      <w:r>
        <w:t>Schlussabrechnung</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daher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E.2). Inwieweit Rechtsänderungen zu berücksichtigen sind, hängt von der massgeblichen intertemporalen Regelung ab. Fehlt im Gesetz eine Übergangsbestimmung, so entscheidet das Bundesverwaltungsgericht auf­grund allgemeiner intertemporaler Grundsätze (André Moser / Mi­chael Beusch / Lorenz Kneubühler, Prozessieren vor dem Bundesver­wal­tungs­gericht, Basel 2008, Rz. 2.202 mit Hinweisen).</w:t>
      </w:r>
    </w:p>
    <w:p>
      <w:r>
        <w:rPr>
          <w:b/>
        </w:rPr>
        <w:t>E. 2.2</w:t>
      </w:r>
    </w:p>
    <w:p>
      <w:r>
        <w:t>Am 1. Januar 2008 trat das zweite Paket der Asylgesetzrevision vom 16. Dezember 2005 in Kraft, mit dem durch entsprechende Ände­rungen des Asylgesetzes vom 26. Juni 1998 (AsylG, SR 142.31) und des auf denselben Zeitpunkt in Kraft ge­setzten Bundesgesetzes vom 16. Dezember 2005 über die Aus­länderinnen und Ausländer (AuG, SR 142.20) ein Systemwechsel von der individuellen Sicherheitsleistungs- und Rückerstattungspflicht (SiRück-System) zur Sonderabgabe vollzogen wurde (vgl. zum Ganzen Urteil des Bundesverwaltungsgerichts C 7179/2008 vom 21. Dezember 2010 E. 4). In Bezug auf vorläufig aufgenommene Personen bestimmt Art. 126a Abs. 1 AuG, dass die Abrechnung und Liquidation eines Sicherheitskontos dem alten Recht folgt, wenn sich vor dem Inkrafttreten des neuen Rechts ein Schlussabrechnungsfall nach Art. 87 des AsylG in der Fassung vom 26. Juni 1998 (AS 1999 2262) verwirklicht hat. Ein solcher Schlussabrechnungsgrund ist eingetreten, als der Beschwerdeführer und seine Familie am 27. April 2006 eine Aufenthaltsbewilligung erhalten haben (Art. 87 Abs. 1 Bst. b AsylG in der Fassung vom 26. Juni 1998). Die Voraussetzungen für die Nachwirkung des alten Rechts sind deshalb gegeben.</w:t>
      </w:r>
    </w:p>
    <w:p>
      <w:r>
        <w:rPr>
          <w:b/>
        </w:rPr>
        <w:t>E. 3.1</w:t>
      </w:r>
    </w:p>
    <w:p>
      <w:r>
        <w:t>Vorläufig aufgenommene Personen haben, soweit zumutbar, Fürsorge-, Ausreise- und Vollzugskosten sowie die Kosten des Rechtsmittelverfahrens zurückzuerstatten (vgl. Art. 14c Abs. 6 des Bundesgesetzes vom 26. März 1931 über Aufenthalt und Niederlassung der Ausländer [ANAG, BS 1 121] i.V.m. Art. 85 Abs. 1 AsylG in der Fassung vom 26. Juni 1998). Gemäss Art. 14c Abs. 6 ANAG sind sie verpflichtet, für die Rückerstattung dieser Kosten Sicherheit zu leisten. Zu diesem Zweck führt der Bund Sicherheitskonten, auf welche die Arbeitgeber 10 Prozent des Erwerbseinkommens der vorläufig aufgenommenen Personen zu überweisen haben (vgl. Art. 14c Abs. 6 ANAG und Art. 22 Abs. 1 der Verordnung vom 11. August 1999 über den Vollzug der Weg- und Ausweisung von ausländischen Personen [VVWA, SR 142.281] in der Fassung vom 11. August 1999 [AS 1999 2254] i.V.m. Art. 86 Abs. 2 AsylG in der Fassung vom 26. Juni 1998 und Art. 11 Abs. 1 der Asylverordnung 2 vom 11. August 1999 über Finanzierungsfragen [AsylV 2, SR 142.312] in der Fassung vom 11. August 1999 [AS 1999 2318]).</w:t>
      </w:r>
    </w:p>
    <w:p>
      <w:r>
        <w:rPr>
          <w:b/>
        </w:rPr>
        <w:t>E. 3.2</w:t>
      </w:r>
    </w:p>
    <w:p>
      <w:r>
        <w:t>Erhält die vorläufig aufgenommene Person eine Aufenthaltsbewilligung oder verlässt sie die Schweiz endgültig, so liquidiert das BFM das Sicherheitskonto auf Grund einer Schlussabrechnung, in deren Rahmen eine Verrechnung zwischen dem Kontoguthaben und den rückerstattungspflichtigen Kosten zwecks Deckung der letzteren erfolgt (Art. 14c Abs. 6 ANAG und Art. 22 Abs. 1 VVWA in der Fassung vom 11. August 1999 i.V.m. Art. 87 Abs. 1 Bst. b AsylG in der Fassung vom 26. Juni 1998 und Art. 17 Abs. 2 AsylV 2 in der Fassung vom 11. August 1999). Ein allfälliges Restguthaben gelangt zur Auszahlung an den Kontoinhaber. Soweit die rückerstattungspflichtigen Kosten nicht aus den Sicherheitsleistungen gedeckt werden können, bleibt der Kontoinhaber nach Massgabe der fürsorgerechtlichen Grundsätze zur Rückerstattung verpflichtet (Art. 22 Abs. 1 VVWA in der Fassung vom 11. August 1999 i.V.m. Art. 9 Abs. 1 und 4 AsylV 2 in der Fassung vom 11. August 1999; vgl. dazu auch die Erläuterungen im Entwurf zur Schlussabrechnung vom 16. Februar 2007, wonach die Rückerstattung von ungedeckten Kosten für den Fall vorbehalten bleibt, dass der Kontoinhaber zu Vermögen kommt, das nicht aus Erwerbseinkommen stammt).</w:t>
      </w:r>
    </w:p>
    <w:p>
      <w:r>
        <w:rPr>
          <w:b/>
        </w:rPr>
        <w:t>E. 3.3</w:t>
      </w:r>
    </w:p>
    <w:p>
      <w:r>
        <w:t>Die rückerstattungspflichtigen Kosten setzen sich zusammen aus den ungedeckt gebliebenen Kosten einer Zwischenabrechnung (Art. 23 Abs. 1 VVWA in der Fassung vom 11. August 1999), den Ausreise- und Vollzugskosten, den beim Bundesverwaltungsgericht ungedeckt gebliebenen Verfahrenskosten, den verursachten Kosten zahnmedizinischer Behandlungen (Art. 22 Abs. 1 VVWA in der Fassung vom 11. August 1999 i.V.m. Art. 9 Abs. 3 Bst. a bis c AsylV 2 in der Fassung vom 11. August 1999) und einer Pauschale an die übrigen Fürsorgekosten von 40 Franken pro Tag und Person. Dabei gilt die Vermutung, dass eine Person während der Zeit ohne Arbeitsverhältnis vollumfänglich unterstützt wurde; diese Vermutung ist namentlich dann zu überprüfen, wenn der Kontoinhaber nachweist, dass die Bedürftigkeit während der erwerbslosen Zeit nicht oder nicht vollständig bestanden hat oder Eigen- bzw. Drittleistungen erbracht wurden (Art. 23 Bst. b VVWA in der Fassung vom 11. August 1999).</w:t>
      </w:r>
    </w:p>
    <w:p>
      <w:r>
        <w:rPr>
          <w:b/>
        </w:rPr>
        <w:t>E. 4</w:t>
      </w:r>
    </w:p>
    <w:p>
      <w:r>
        <w:t>Der Stand des Sicherheitskontos ist vorliegend unbestritten. Gegenstand der hier zu beurteilenden Beschwerde ist einzig die Höhe der dem Beschwerdeführer vom BFM in Rechnung gestellten Kosten der allgemeinen Fürsorge.</w:t>
      </w:r>
    </w:p>
    <w:p>
      <w:r>
        <w:rPr>
          <w:b/>
        </w:rPr>
        <w:t>E. 4.1</w:t>
      </w:r>
    </w:p>
    <w:p>
      <w:r>
        <w:t>Der Beschwerdeführer macht geltend, sein Sohn C._______ habe im Zeitraum von 11. Januar 2003 bis 30. Juni 2008 Leistungen der IV von insgesamt Fr. 221'475.00 erhalten, die nicht als Sozialhilfe betrachtet werden könnten. Des Weiteren habe er im Jahr 1996 von der Ausgleichskasse Obwalden in einem grösseren Umfang Kinderzulagen für die früheren Jahre ausbezahlt erhalten, die ebenfalls mit den Fürsorgeleistungen verrechnet worden seien. Schliesslich sei der Sohn C._______ für längere Zeit im Behindertenheim Rüti untergebracht gewesen, wobei er die Hälfte der Kosten aus eigenen Einkünften bestritten habe. Ganz offensichtlich geht der Beschwerdeführer davon aus, dass bei der Berechnung der Sozialhilfekosten Eigen- und Drittleistungen unrichtig erfasst worden seien. Die Vorinstanz, die sich in der angefochtenen Verfügung aus verwaltungsökonomischen Gründen darauf beschränkte, die rückerstattungspflichtigen Kosten nur für den Zeitraum 4. Quartal 1999 bis 4. Quartal 2001 zu erheben, sah sich im Rahmen des Vernehmlassungsverfahrens veranlasst, beim Kanton eine vollständige Auflistung der vom Beschwerdeführer und seiner Familie in Anspruch genommenen Sozialhilfe namentlich auch im Hinblick auf die IV-Leistungen einzuholen. Die entsprechenden Akten wurde dem Beschwerdeführer zur Stellungnahme zugstellt. Er verzichtete darauf, sich mit der Aufstellung inhaltlich auseinanderzusetzen, obwohl die Beweisführungslast für die Höhe der Eigen- bzw. Drittleistungen während einer Unterstützungsperiode nach der ausdrücklichen Vorschrift des Art. 23 Bst. 2 VVWA in der Fassung vom 11. August 1999 bei der unterstützten Person liegt. Bei dieser Sachlage bestünde für das Bundesverwaltungsgericht nur dann Veranlassung, die Vollständigkeit und Richtigkeit der Abrechnung zu hinterfragen, wenn sich entscheidswesentliche Zweifel aufgrund der Akten aufdrängen. Das ist jedoch nicht der Fall.</w:t>
      </w:r>
    </w:p>
    <w:p>
      <w:r>
        <w:rPr>
          <w:b/>
        </w:rPr>
        <w:t>E. 4.2</w:t>
      </w:r>
    </w:p>
    <w:p>
      <w:r>
        <w:t>Den Akten lässt sich entnehmen, dass der Beschwerdeführer und seine Familie von August 1999 - dem Zeitpunkt der vorläufigen Aufnahme - bis und mit Januar 2005 während insgesamt 9'719 Tagen teilweise unterstützt wurden: Den Kosten der materiellen Grundsicherung in der Höhe von Fr. 364'121.56 standen Einnahmen aus dem Erwerbseinkommen des Beschwerdeführers von lediglich Fr. 222'641.95 gegenüber. Der daraus resultierende Fehlbetrag von Fr. 141'479.61 zuzüglich Kosten besonderer medizinischer Versorgung in der Höhe von Fr. 46'168.35 wurden von der öffentlichen Sozialhilfe übernommen. Somit haben der Beschwerdeführer und seine Familie wirtschaftliche Sozialhilfe von insgesamt Fr. 187'647.96 in Anspruch genommen. Dieser Betrag ist schon deshalb voll abrechnungsfähig, weil er sich deutlich innerhalb des von Art. 23 Bst. b VVWA (in der Fassung vom 11. August 1999) gezogenen Kostenrahmens hält (9'719 Unterstützungstage zu Fr. 40.00). Ende 2004 und Anfang 2005 wurden dem Sohn C._______ rückwirkend auf den 1. Dezember 2003 Leistungen der IV zugesprochen (ganze ausserordentliche IV-Rente, Ergänzungsleistungen der IV, Hilflosenentschädigung mittleren Grades), was der Familie erstmals zur wirtschaftlichen Selbständigkeit verhalf. Ein Teil der Nachzahlung für die Jahre 2003 und 2004 von Fr. 84'780.00 wurde zur Deckung der verursachten Sozialhilfekosten herangezogen. Aus der Aufstellung des Kantons geht hervor, dass die Nachzahlung wie folgt verwendet wurde: Der Betrag von Fr. 61'656.80 wurde mit den Sozialhilfekosten des Sohnes C._______ in den Jahren 2003 und 2004 verrechnet, der Betrag von Fr. 1'674.00 diente der Deckung der aus der Nachzahlung resultierenden Steuern für die Jahre 2003 und 2004, der Betrag von Fr. 14'573.15 ging an den Beschwerdeführer unter anderem zwecks Rückerstattung seiner finanziellen Beteiligung an der Unterbringung von C._______ und der Restbetrag von Fr. 6'876.05 wurde dem Sohn C._______ ausbezahlt. Geht man zu Gunsten des Beschwerdeführers davon aus, dass sein Anteil an der Nachzahlung ebenfalls zur Deckung der verursachten Sozialhilfekosten einbehalten wurde, so beläuft sich die Rückerstattung gesamthaft auf Fr. 76'229.95. Die von August 1999 bis und mit Januar 2005 entstandenen, noch offenen Sozialhilfekosten betragen somit Fr. 111'418.01.</w:t>
      </w:r>
    </w:p>
    <w:p>
      <w:r>
        <w:rPr>
          <w:b/>
        </w:rPr>
        <w:t>E. 4.3</w:t>
      </w:r>
    </w:p>
    <w:p>
      <w:r>
        <w:t>Unter Berücksichtigung aller Eigen- und Drittleistungen des Be­schwer­deführers und seiner Familiengehörigen ergibt sich, dass im Zeitraum August 1999 bis und mit Januar 2005 tatsächlich rückerstattungspflichtige Kosten erwachsen sind, die mit Fr. 111'418.01 wesentlich höher ausfallen, als die mit der angefochtenen Verfügung auf der Basis 4. Quartal 1999 bis 4. Quartal 2001 festgesetzten und vom Beschwerdeführer beanstandeten Fr. 56'338.05. Die Beschwerde erweist sich somit als klar unbegründet. Da die Vorinstanz in ihrer Vernehmlassung aus verwaltungsökonomischen Gründen ausdrücklich darauf verzichtet, die Höhe der rückerstattungspflichtigen Kosten zu Lasten des Beschwerdeführers neu festzusetzen, und das Bundesverwal­tungs­gericht in der Folge von der Androhung einer reformatio in peius gemäss Art. 62 Abs. 3 VwVG Abstand nahm, ist die angefochtene Verfügung zu bestätigen.</w:t>
      </w:r>
    </w:p>
    <w:p>
      <w:r>
        <w:rPr>
          <w:b/>
        </w:rPr>
        <w:t>E. 5</w:t>
      </w:r>
    </w:p>
    <w:p>
      <w:r>
        <w:t>Bei diesem Ausgang des Verfahrens sind die Verfahrenskosten dem Beschwerdeführer aufzuerlegen (Art. 63 Abs. 1 VwVG, Art. 1 ff. des Reglements vom 21. Februar 2008 über die Kosten und Entschädigungen vor dem Bundesverwaltungsgericht [VGKE, SR 173.320.2]).</w:t>
      </w:r>
    </w:p>
    <w:p>
      <w:r>
        <w:rPr>
          <w:b/>
        </w:rPr>
        <w:t>E. 6</w:t>
      </w:r>
    </w:p>
    <w:p>
      <w:r>
        <w:t>Dieses Urteil ist endgültig (Art. 83 Bst. c Ziff. 3 und Bst. d Ziff. 1 des Bundesgerichtsgesetzes vom 17. Juni 2005 [BGG, SR 173.110]).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