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C-358/2019 vom 30. Dezember 2020</w:t>
      </w:r>
    </w:p>
    <w:p>
      <w:r>
        <w:t>Bundesverwaltungsgericht, 2020-12-30, DE</w:t>
      </w:r>
    </w:p>
    <w:p>
      <w:r>
        <w:rPr>
          <w:b/>
        </w:rPr>
        <w:t xml:space="preserve">Quelle: </w:t>
      </w:r>
      <w:r>
        <w:t>https://mcp.opencaselaw.ch/entscheid/bvger_C-358_2019</w:t>
      </w:r>
    </w:p>
    <w:p>
      <w:r>
        <w:t>FR: TAF C-358/2019 du 30 décembre 2020</w:t>
      </w:r>
    </w:p>
    <w:p>
      <w:r>
        <w:t>IT: TAF C-358/2019 del 30 dicembre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bildet die Verfügung der Vorinstanz vom 7. Dezember 2018, mit welcher der Publikumspreis (PP) des von der Beschwerdeführerin vertriebenen Arzneimittels B._______ im Rahmen der Überprüfung der Aufnahmebedingungen alle drei Jahre per 1. Februar 2019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(BGE 135 II 296 E. 4.4.3; BGE 133 II 35 E. 3; BGE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(BVGE 2010/22 E. 4.4).</w:t>
      </w:r>
    </w:p>
    <w:p>
      <w:r>
        <w:rPr>
          <w:b/>
        </w:rPr>
        <w:t>E. 3.3</w:t>
      </w:r>
    </w:p>
    <w:p>
      <w:r>
        <w:t>In zeitlicher Hinsicht sind grundsätzlich diejenigen materiell-rechtlichen Rechtssätze massgebend, die bei der Erfüllung des zu Rechtsfolgen führenden Sachverhalts Geltung haben (BGE 141 V 657 E. 3.5.1 m.w.H.). Massgebend sind vorliegend die im Zeitpunkt der Verfügung, am 7. Dezember 2018, geltenden materiellen Bestimmungen (Urteil des BVGer C-5912/2013 vom 30. April 2015 [nicht in BVGE 2015/51 publizierte] E. 2.3). Dazu gehören neben dem KVG (SR 832.10; in der ab 1. Januar 2018 gültigen Fassung) insbesondere die KVV (SR 832.102; in der ab 1. Januar 2018 gültigen Fassung) und die KLV (SR 832.112.31; in der ab 1. Oktober 2018 gültigen Fassung).</w:t>
      </w:r>
    </w:p>
    <w:p>
      <w:r>
        <w:rPr>
          <w:b/>
        </w:rPr>
        <w:t>E. 4</w:t>
      </w:r>
    </w:p>
    <w:p>
      <w:r>
        <w:t>Die Beschwerdeführerin rügt zunächst in formeller Hinsicht, die Vorinstanz habe ihren Anspruch auf rechtliches Gehör verletzt, weil sie auf ihr Vorbringen, dass die Anwendungsdauer und -häufigkeit für D._______ gemäss der Fachinformation weder den aktuellen Studien noch den Leitlinien entspreche, nicht eingegangen sei.</w:t>
      </w:r>
    </w:p>
    <w:p>
      <w:r>
        <w:rPr>
          <w:b/>
        </w:rPr>
        <w:t>E. 4.1</w:t>
      </w:r>
    </w:p>
    <w:p>
      <w:r>
        <w:t>Die Parteien haben Anspruch auf rechtliches Gehör (Art. 29 Abs. 2 BV,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V 351 E. 4.4; 132 V 368 E. 3.1). Der Anspruch auf rechtliches Gehör bezieht sich grundsätzlich nur auf den rechtserheblichen Sachverhalt und nicht auf die rechtliche Würdigung desselben. Dieser verlangt nicht, dass die verfahrensbeteiligte Partei die Gelegenheit erhalten muss, sich zu jedem möglichen Ergebnis, das von der Behörde ins Auge gefasst wird, zu äussern. Die Behörde hat den Parteien also nicht ihre Begründung oder ihren Verfügungsentwurf vorweg zur Stellungnahme zu unterbreiten (BGE 132 II 257 E. 4.2; 132 II 485 E. 3.4). Der Sachverhalt, wie er sich aus Sicht der Behörde darstellt, muss indes mindestens derart detailliert unterbreitet werden, dass die Partei hierzu konkret ihre Einwände erheben kann (Urteil des BVGer C-6516/2018 vom 20. Oktober 2020 E. 6.1 m.H.)</w:t>
      </w:r>
    </w:p>
    <w:p>
      <w:r>
        <w:rPr>
          <w:b/>
        </w:rPr>
        <w:t>E. 4.2</w:t>
      </w:r>
    </w:p>
    <w:p>
      <w:r>
        <w:t>Die Vorinstanz hat in ihrem Schreiben an die Beschwerdeführerin vom 20. September 2018 (vgl. Bst. B.e) und in der angefochtenen Verfügung dargelegt, weshalb sie bezüglich der Dosierungsvorschriften für D._______ an der Schweizer Fachinformation festhält. So führte sie aus, dass für die Berechnung des TQV in der Regel die in der Fachinformation angegebenen Dosisempfehlungen berücksichtigt würden, da deren Festlegung durch Swissmedic auf den relevanten pivotalen Studien beruhen würden. Falls in der Schweizer Fachinformation keine Erhaltungsdosen verfügbar seien, werde der Mittelwert der aufgeführten Erhaltungsdosisspanne berücksichtigt. Leitlinien würden beigezogen, falls in der Fachinformation keine Angaben verfügbar seien.</w:t>
      </w:r>
    </w:p>
    <w:p>
      <w:r>
        <w:rPr>
          <w:b/>
        </w:rPr>
        <w:t>E. 4.3</w:t>
      </w:r>
    </w:p>
    <w:p>
      <w:r>
        <w:t>Die Vorinstanz äusserte sich somit zu den Argumenten der Beschwerdeführerin, wenn auch nur knapp. Eine Verletzung der Begründungspflicht ist nicht erkennbar, zumal eine sachgerechte Anfechtung der Verfügung ohne Weiteres möglich war. Ob die Begründung der angefochtenen Verfügung zutrifft, ist hingegen eine Frage der materiellen Prüfung.</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(BGE 139 V 375 E. 4.2 m.H.).</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(BGE 129 V 32 E. 3.2.1).</w:t>
      </w:r>
    </w:p>
    <w:p>
      <w:r>
        <w:rPr>
          <w:b/>
        </w:rPr>
        <w:t>E. 5.5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5.6</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5.7</w:t>
      </w:r>
    </w:p>
    <w:p>
      <w:r>
        <w:t>Gemäss bundesgerichtlicher Rechtsprechung (BGE 143 V 369 E. 6) ist die gültige Zulassung des Schweizerischen Heilmittelinstituts Swissmedic notwendige, aber nicht hinreichende Bedingung für die Aufnahme eines Arzneimittels in die Spezialitätenliste. Swissmedic erteilt nach Prüfung insbesondere der Qualität, der Sicherheit und der Wirksamkeit des Arzneimittels die heilmittelrechtliche Zulassung ausdrücklich für definierte Indikationen oder Anwendungsgebiete und genehmigt ferner auch die entsprechende Arzneimittelinformation. Eine Aufnahme in die Spezialitätenliste ist nur in den Grenzen der Indikationen und Anwendungsvorschriften gemäss Swissmedic-Zulassung möglich. Das BAG seinerseits prüft, ob die WZW-Kriterien erfüllt sind und entscheidet über die Aufnahme in die Spezialitätenliste. Angesichts dieser doppelstufigen Zulassungsprüfung, wobei entscheidend ist, dass die nachgelagerte SL-Zulassung namentlich in Bezug auf die Indikationen nicht weiter gehen darf als die heilmittelrechtliche Zulassung, muss das BAG auf die Swissmedic-Zulassung bzw. die Fachinformationen abstellen können. In diesem Zusammenhang ist zu beachten, dass Swissmedic die zugelassenen Arzneimittel und damit einhergehend auch die Fachinformationen periodisch sowie nach jeweils fünf Jahren anlässlich der Erneuerung der Zulassung überprüft. Mithin ist davon auszugehen, dass die Indikations- und Diagnoseformulierungen somit regelmässig auf den neusten Stand gebracht werden.</w:t>
      </w:r>
    </w:p>
    <w:p>
      <w:r>
        <w:rPr>
          <w:b/>
        </w:rPr>
        <w:t>E. 5.8</w:t>
      </w:r>
    </w:p>
    <w:p>
      <w:r>
        <w:t>Ein Arzneimittel gilt nach Art. 65b KVV als wirtschaftlich, wenn es die indizierte Heilwirkung mit möglichst geringem finanziellem Aufwand gewährleistet (Abs. 1). Die Wirtschaftlichkeit wird gemäss Abs. 2 aufgrund eines Vergleichs mit dem Preis in Referenzländern (Bst. a; Auslandpreisvergleich) und mit anderen Arzneimitteln (Bst. b; therapeutischen Quervergleichs)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Abs. 4bis die Wirksamkeit im Verhältnis zu anderen Arzneimitteln, die zur Behandlung derselben Krankheit eingesetzt werden, überprüft (Bst. a), und die Kosten des Arzneimittels pro Tag oder Kur im Verhältnis zu den Kosten von Arzneimitteln, die zur Behandlung derselben Krankheit eingesetzt werden, verglichen (Bst. b).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5.9</w:t>
      </w:r>
    </w:p>
    <w:p>
      <w:r>
        <w:t>Gemäss Art. 34f Abs. 1 KLV werden beim therapeutischen Quervergleich nach Art. 65b Abs. 2 Bst. b KVV diejenigen Originalpräparate berücksichtigt, die zum Zeitpunkt der Überprüfung in der Spezialitätenliste aufgeführt sind und zur Behandlung derselben Krankheit eingesetzt werden.</w:t>
      </w:r>
    </w:p>
    <w:p>
      <w:r>
        <w:rPr>
          <w:b/>
        </w:rPr>
        <w:t>E. 6</w:t>
      </w:r>
    </w:p>
    <w:p>
      <w:r>
        <w:t>Nicht strittig ist, dass das Arzneimittel B._______ nach wie vor über eine gültige Zulassung des Heilmittelinstituts (Swissmedic) verfügt (vgl. Bst. A) und die Zulassungsvoraussetzungen der Wirksamkeit und Zweckmässigkeit weiterhin erfüllt. Umstritten und zu prüfen ist, ob die von der Vorinstanz im Rahmen der dreijährlichen Überprüfung der Aufnahmebedingungen angeordnete Preisreduktion rechtmässig ist. Dabei ist die Berechnung des APV nicht umstritten, sondern einzig der TQV. Nachfolgend sind zunächst die Standpunkte der Parteien darzulegen (vgl. E. 6.1 ff.). Danach folgt eine Übersicht über die infrage stehenden Arzneimittel (vgl. E. 7). Schliesslich ist zu prüfen, welche Vergleichsarzneimittel beizuziehen sind (vgl. E. 8).</w:t>
      </w:r>
    </w:p>
    <w:p>
      <w:r>
        <w:rPr>
          <w:b/>
        </w:rPr>
        <w:t>E. 6.1</w:t>
      </w:r>
    </w:p>
    <w:p>
      <w:r>
        <w:t>Die Beschwerdeführerin brachte vor, D._______ soll im TQV mit dem per 1. Dezember 2018 gesenkten Preis berücksichtigt werden. Nur so könne entschieden werden, ob es sich tatsächlich um ein überdurchschnittlich teures Arzneimittel handle. Des Weiteren wird eine unrichtige und unvollständige Feststellung des Sachverhalts bezüglich C._______ gerügt. Die Vorinstanz habe für C._______ eine Menge von 0,5 g eingesetzt und den TQV damit berechnet. Sie habe den eingesetzten Wert ausdrücklich als Annahme bezeichnet. In der Fachinformation von C._______ fänden sich jedoch keine präzisen Dosierungsangaben. Aus dem blossen Hinweis "ein- oder zweimal täglich in dünner Schicht aufgetragen" lasse sich keine genügend bestimmte Menge ablesen. Auch der Umstand, dass C._______ als Crème und B._______ als Gel vorliege, verbiete im Lichte der Rechtsprechung des BVGer, dass die für B._______ definierte Menge unbesehen auf C._______ übertragen werde. Gel lasse sich viel leichter verteilen als eine Crème, weshalb die pro Fläche benötigte Menge bei einer Crème grösser sei. Ferner sei der TQV bei der Aufnahme von B._______ in die SL mit D._______, C._______ und E._______ durchgeführt worden. Diese Verfügung sei in Rechtskraft erwachsen. Der Preis von D._______ sei schon damals deutlich höher gewesen als der Preis von B._______. Da sich im Sachverhalt oder der Rechtslage keine Änderungen ergeben hätten, die für den TQV von Bedeutung seien, dürfe D._______ nicht vom TQV ausgeschlossen werden. Im Weiteren brachte die Beschwerdeführerin vor, der Sachverhalt bezüglich D._______ sei unrichtig festgestellt worden. Im Laufe des Überprüfungsverfahrens sei festgestellt worden, dass die Anwendungsdauer und -häufigkeit gemäss Fachinformation weder den aktuellen Studien noch den Leitlinien entspreche. Gemäss den Studien G._______ und H._______, der Leitlinie I._______ und den J._______ ergebe sich in der Praxis, dass D._______ dreimal wöchentlich während vier Wochen, gefolgt von einer Pause von vier Wochen und gegebenenfalls einem zweiten Zyklus von vier Wochen Behandlung, eingesetzt werde. Dies entspreche einer Applikation in der Praxis von 18 Beuteln pro Kur (3 Beutel pro Woche während einer mittleren Dauer von 6 Wochen). Die Dosierungsangaben in der Fachinformation von D._______ würden auf den Zulassungsstudien basieren, die alle gegen Placebo durchgeführt worden seien. Die beiden neuen Studien G._______ und H._______ demgegenüber seien gegen B._______ durchgeführt worden. Es sei notorisch, dass die Fachinformationen gerade mit Blick auf die neueren Studien oft nicht aktuell seien. D._______ müsse im TQV von B._______ gemäss dieser Praxis eingesetzt werden. Der Preis pro Kur sei zwar immer noch höher als der Preis pro Kur von B._______, aber nicht überdurchschnittlich teuer. Mit dem Ausschluss von D._______ aus dem TQV von B._______ wegen dessen angeblich zu hohen Preises habe das BAG sein Ermessen bezüglich der Auswahl der Vergleichspräparate für den TQV wider besseren Wissens ausgeübt und insofern missbraucht. Ferner sei das Gebot zur Gleichbehandlung der Gewerbegenossen verletzt worden, indem im TQV von B._______ für C._______ ein bereits gesenkter Preis berücksichtigt worden und D._______ als anerkannte Therapiealternative ausgeschlossen worden sei. Wenn B._______ im TQV von D._______ berücksichtigt werde, müsse D._______ folglich auch im TQV von B._______ berücksichtigt werden.</w:t>
      </w:r>
    </w:p>
    <w:p>
      <w:r>
        <w:rPr>
          <w:b/>
        </w:rPr>
        <w:t>E. 6.2</w:t>
      </w:r>
    </w:p>
    <w:p>
      <w:r>
        <w:t>Die Vorinstanz führte in ihrer Vernehmlassung aus, die Neuaufnahme und die periodische Überprüfung seien zwei voneinander unabhängige Überprüfungen der Kriterien Wirksamkeit, Zweckmässigkeit und Wirtschaftlichkeit und deswegen sei in der periodischen Überprüfung eine neue und eigenständige Beurteilung der genannten Kriterien zu sehen und nicht etwa eine Wiedererwägung der Aufnahmeverfügung. In der Regel würden bei der Überprüfung alle drei Jahre dieselben Arzneimittel im TQV beigezogen. Aufgrund des Kostengünstigkeitsprinzips und ihres Ermessens bezüglich der Auswahl und Anzahl der Vergleichsarzneimittel könne die Beschwerdeführerin aus der Neuaufnahme von B._______ jedoch kein Recht ableiten, diesen Zustand zu perpetuieren. Aus der Publikation K._______ (BVGer-act. 10 Beilage 1) lasse sich die für C._______ benötigte Menge ableiten. Eine 40 g Tube C._______ sei gemäss dieser Publikation für eine Behandlung des ganzen Gesichts ausreichend, wobei für die Fläche eines Gesichts drei "cosmetic units" berücksichtigt worden seien. Ein "cosmetic unit" wiederum entspreche einer Fläche von 5 x 5 cm (25 cm2), d.h. ein ganzes Gesicht entspreche einer Fläche von 75 cm2. Bei einer durchschnittlichen Anwendungshäufigkeit von 1,5 x täglich während 3,5 Wochen bzw. 24.5 Tagen (gemäss Fachinformation werde C._______ 1 - 2 x täglich aufgetragen und die Therapie dauere im Mittel 3 - 4 Wochen) werde mit 40 g C._______ also insgesamt eine Fläche von 2'756.25 cm2 behandelt (durchschnittliche Anwendungshäufigkeit, d.h. 36.75 [24.5 x 1.5] multizipliert mit 75 cm2). Daraus lasse sich ableiten, dass für eine Fläche von 5 x 5 cm (25 cm2) eine Menge von 0,3628 g C._______ benötigt werde (40g dividiert durch 2756.25 cm2 multizipliert mit 25 cm2). Diese Menge entspreche ungefähr der für den TQV herangezogenen Menge von 0,5 g C._______. Da der TQV auf der Basis von Kurkosten und der dazu berücksichtigten Packungen durchgeführt werde, sei für die Behandlung mit C._______ auch bei Berücksichtigung der präziseren Menge von 0,3628 g eine Tube C._______ à 20 g ausreichend. Das TQV-Niveau von B._______ sei somit korrekt bestimmt worden. In der Fachinformation werde für D._______ eine eindeutige Anwendungshäufigkeit definiert und es bestehe kein Grund, von diesen Angaben abzuweichen. Die S1-Leitlinien I._______ würden auf der deutschen Fachinformation beruhen. Daraus könne die Beschwerdeführerin nichts zu ihren Gunsten ableiten, da für den TQV die Fachinformation von Swissmedic berücksichtigt werde. In den J._______ finde sich keine Empfehlung oder eine Präferenz für eine kürzere als die von Swissmedic zugelassene Anwendungsdauer. Die neueren Studien G._______ und H._______ seien von der Firma L._______, der Zulassungsinhaberin von D._______ gesponserte und in Deutschland durchgeführte Studien. Die Studien seien zudem nicht "peer-reviewed" publiziert. Des Weiteren sei die gemäss deutscher Fachinformation zugelassene Anwendungsdauer berücksichtigt worden. Mit Kurkosten von CHF 286.44 sei D.________ im Vergleich zu B._______ und C._______ stark überteuert und brauche deshalb unter Berücksichtigung des Kostengünstigkeitsprinzips nicht im TQV von B._______ miteinbezogen zu werden, da mit C._______ ein ausreichender TQV möglich sei. Die Einteilung in die IT-Gruppen erfolge für alle Zulassungsinhaberinnen rechtsgleich und transparent. Die einzelfallweisen Auswirkungen einer unterschiedlichen IT-Gruppeneinteilung könnten nicht berücksichtigt werden, da es sich bei der Überprüfung der Aufnahmebedingungen alle drei Jahre um ein Massengeschäft handle. Im Übrigen sei auch der inzwischen gesenkte, seit 1. März 2019 geltende Preis von D._______ mit Fr. 65.66, resp. Kurkosten von Fr. 262.64, überdurchschnittlich teurer als C._______ und B._______. Weder eine Verletzung des Gebots der Gleichbehandlung direkter Konkurrenten noch ein Verstoss gegen das Willkürverbot liege vor, wenn für alle Arzneimittel die aktuell gültigen und nicht zukünftigen Preise herangezogen würden.</w:t>
      </w:r>
    </w:p>
    <w:p>
      <w:r>
        <w:rPr>
          <w:b/>
        </w:rPr>
        <w:t>E. 6.3</w:t>
      </w:r>
    </w:p>
    <w:p>
      <w:r>
        <w:t>Die Beschwerdeführerin führte in ihrer Replik aus, die Abklärungen der Vorinstanz zur Dosierung von C._______ zeige, dass deren Annahme im vorliegenden Fall annehmbar sei. Darauf ist abzustellen und in der Folge nicht weiter auf diese Rüge einzugehen. Des Weiteren brachte sie ergänzend zur Beschwerde vor, Leitlinien und Studien würden vielfach niedrigere Dosierungsangaben und kürzere Anwendungshäufigkeiten zeigen. Auch die schweizerische Fachinformation weise im Kapitel Warnhinweise / Vorsichtsmassnahmen unter "F._______" darauf hin, dass in Abhängigkeit von den Hautreaktionen Therapiepausen und entsprechend dem klinischen Resultat ein Therapieende schon nach acht Wochen möglich sei. Internationale Leitlinien wie die deutsche, europäische, britische oder kanadische würden eine geringere Anwendungshäufigkeit und weniger lange Therapiedauer für D._______ in der klinischen Praxis bestätigen. Die schweizerische Leitlinie aus dem Jahr 2014 erwähne zwar die in der Schweiz zugelassene Dosierung und Anwendung von D._______, weise aber ausdrücklich darauf hin, dass diese Empfehlungen nicht strikt zu befolgen seien. Sie verweise auf mehrere Studien mit abweichender, niedrigerer Dosierung von D._______. Dabei sei D._______ in zwei Zyklen zu je vier Wochen eingesetzt worden. Gemäss der europäischen Arzneimittelagentur werde D._______ im europäischen Raum mit einer Dosierung von dreimal wöchentlich über vier Wochen mit eventueller Wiederholung nach vier Wochen in einem zweiten Behandlungszyklus eingesetzt. Auch die Studie K._______ erwähne drei weitere Studien, in welchen die Dosierung und Therapiedauer von D._______ als weitaus niedriger angegeben werde. Die schweizerische Praxis spiegle sich auch in ärztlichen Empfehlungen. Es werde empfohlen, D._______ dreimal wöchentlich, beschränkt auf drei Wochen respektive - unter Hinweis, dass über die optimale Anwendungsdauer verschiedene Meinungen herrschen würden - während einem Zyklus von vier Wochen einzusetzen. Die Studie K._______ zeige neben der korrekten Dosierung im klinischen Alltag auch einen Vergleich von C._______ und D._______. Des Weiteren wurde vorgebracht, die Einteilung in die IT-Gruppen erfolge gerade, um zu verhindern, dass Arzneimittel der gleichen therapeutischen Gruppe, die als Vergleichspräparate im TQV in Frage kämen, zu unterschiedlichen Zeitpunkten überprüft würden und die Vergleichsprodukte einen bereits gesenkten Preis aufweisen würden, während andere von noch nicht gesenkten und somit teureren Preisen profitieren könnten.</w:t>
      </w:r>
    </w:p>
    <w:p>
      <w:r>
        <w:rPr>
          <w:b/>
        </w:rPr>
        <w:t>E. 7</w:t>
      </w:r>
    </w:p>
    <w:p>
      <w:r>
        <w:t>Es folgt ein Überblick über die zur Diskussion stehenden Arzneimittel:</w:t>
      </w:r>
    </w:p>
    <w:p>
      <w:r>
        <w:rPr>
          <w:b/>
        </w:rPr>
        <w:t>E. 7.1</w:t>
      </w:r>
    </w:p>
    <w:p>
      <w:r>
        <w:t>B._______ enthält den Wirkstoff X._______ und ist als Gel erhältlich. 1 g Gel enthält 30 mg X._______. Laut Fachinformation ist es zur Behandlung von F._______ indiziert. B._______ 3% Gel wird zweimal täglich auf die betroffenen Hautstellen aufgetragen und leicht eingerieben. Die verwendete Menge richtet sich nach der Grösse der zu behandelnden Fläche. Gewöhnlich reichen 0,5 g Gel für einen Bereich von 5 cm x 5 cm aus. Die Tageshöchstdosis beträgt 5 g B._______ 3% Gel. Damit ist eine gleichzeitige Behandlung von bis zu 125 cm2 der Hautoberfläche möglich. Die Anwendungsdauer beträgt normalerweise 60 bis 90 Tage. Die grösste Wirkung ist bei Behandlungszeiten am oberen Ende dieses Zeitraums beobachtet worden. Eine vollständige Abheilung der Läsion(en) bzw. eine optimale therapeutische Wirkung kann unter Umständen erst in einem Zeitraum von 30 Tagen nach abgeschlossener Therapie eintreten.</w:t>
      </w:r>
    </w:p>
    <w:p>
      <w:r>
        <w:rPr>
          <w:b/>
        </w:rPr>
        <w:t>E. 7.2</w:t>
      </w:r>
    </w:p>
    <w:p>
      <w:r>
        <w:t>Das von der Vorinstanz in den TQV miteinbezogene Arzneimittel C._______ enthält den Wirkstoff Y._______ und ist als Crème zu 50mg/g (5%) Y._______ erhältlich. Gemäss Fachinformation ist es für folgende Indikationen zugelassen: F._______, (....). Bei der üblichen Dosierung wird die Crème ein- oder zweimal täglich in dünner Schicht auf die Läsion aufgetragen. Im Mittel beträgt die Therapiedauer drei bis vier Wochen, in einzelnen Fällen länger.</w:t>
      </w:r>
    </w:p>
    <w:p>
      <w:r>
        <w:rPr>
          <w:b/>
        </w:rPr>
        <w:t>E. 7.3</w:t>
      </w:r>
    </w:p>
    <w:p>
      <w:r>
        <w:t>Das von der Beschwerdeführerin zum Vergleich vorgeschlagene Arzneimittel D._______ enthält den Wirkstoff Z._______ und ist als Crème in Sachets erhältlich. 12,5 mg Z._______ sind in 250 mg Salbengrundlage (5%) enthalten. Laut Fachinformation ist es für folgende Indikationen zugelassen: - (...), - (...) - für die topische Behandlung von (...) F._______ im Gesicht und auf dem Kopf. Bei F._______ ist D._______ Crème dreimal wöchentlich vor dem Zubettgehen auf die betroffene Haut aufzutragen und für acht Stunden auf der Haut zu belassen. Die Behandlungsdauer soll 16 Wochen betragen. Unter Warnhinweise und Vorsichtsmassnahmen steht geschrieben, dass eine mehrtägige Therapiepause eingelegt werden kann, sollten die Beschwerden der Patienten oder der Schweregrad der lokalen Hautreaktion dies notwendig machen. Das klinische Resultat der Behandlung kann ca. acht Wochen nach Therapieende bestimmt werden.</w:t>
      </w:r>
    </w:p>
    <w:p>
      <w:r>
        <w:rPr>
          <w:b/>
        </w:rPr>
        <w:t>E. 8</w:t>
      </w:r>
    </w:p>
    <w:p>
      <w:r>
        <w:t>Nachfolgend ist zu prüfen, ob die von der Vorinstanz vorgenommene Auswahl der Vergleichspräparate den rechtlichen Anforderungen entspricht.</w:t>
      </w:r>
    </w:p>
    <w:p>
      <w:r>
        <w:rPr>
          <w:b/>
        </w:rPr>
        <w:t>E. 8.1</w:t>
      </w:r>
    </w:p>
    <w:p>
      <w:r>
        <w:t>Im Rahmen des TQV ist die Wirtschaftlichkeit eines Arzneimittels gemäss Art. 65b Abs. 2 Bst. b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Sinne von Art. 65b KVV ist grundsätzlich auf den Wortlaut der heilmittelrechtlichen Zulassung respektive der entsprechenden Fachinformation abzustellen, zumal ein Arzneimittel nur in den Grenzen der von Swissmedic zugelassenen Indikationen und Anwendungsvorschriften in die Spezialitätenliste aufgenommen werden darf (vgl. E. 5.7 hiervor).</w:t>
      </w:r>
    </w:p>
    <w:p>
      <w:r>
        <w:rPr>
          <w:b/>
        </w:rPr>
        <w:t>E. 8.2</w:t>
      </w:r>
    </w:p>
    <w:p>
      <w:r>
        <w:t>Der Vorinstanz steht bei der Auswahl der Vergleichspräparate ein weiter Ermessensspielraum zu (vgl. E. 3.2 hiervor).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(BGE 143 V 369 E. 5.3.3; Urteil des BGer 9C_354/2017 vom 26. Januar 2018 E. 6.3).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(BGE 143 V 369 E. 5.4.3). Zu prüfen bleibt in jedem Einzelfall, ob die Vorinstanz bei der Auswahl der Vergleichspräparate ihr weites Ermessen sachgerecht ausgeübt hat.</w:t>
      </w:r>
    </w:p>
    <w:p>
      <w:r>
        <w:rPr>
          <w:b/>
        </w:rPr>
        <w:t>E. 8.3</w:t>
      </w:r>
    </w:p>
    <w:p>
      <w:r>
        <w:t>Aus der Übersicht der Arzneimittel geht hervor (vgl. E. 7), dass sowohl B._______ und das im TQV berücksichtigte Arzneimittel C._______ als auch das von der Beschwerdeführerin vorgeschlagene Arzneimittel D._______ zur Behandlung von F._______ indiziert sind.</w:t>
      </w:r>
    </w:p>
    <w:p>
      <w:r>
        <w:rPr>
          <w:b/>
        </w:rPr>
        <w:t>E. 8.4</w:t>
      </w:r>
    </w:p>
    <w:p>
      <w:r>
        <w:t>Umstritten und zu prüfen ist, auf welches Stichdatum und somit auf welchen Preis der Vergleichspräparate im TQV abzustellen ist.</w:t>
      </w:r>
    </w:p>
    <w:p>
      <w:r>
        <w:rPr>
          <w:b/>
        </w:rPr>
        <w:t>E. 8.4.1</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8.4.2</w:t>
      </w:r>
    </w:p>
    <w:p>
      <w:r>
        <w:t>Gemäss der früheren Rechtsprechung des Bundesverwaltungsgerichts, welche vom Bundesgericht bestätigt wurde, galt Folgendes: Bei im gleichen Überprüfungsjahr erfolgenden Überprüfungen von verschiedenen Arzneimitteln für den TQV war (grundsätzlich) auf den ab 1. November des Überprüfungsjahres geltenden, noch nicht rechtskräftigen Preis des Vergleichspräparates abzustellen (vgl. Urteil BVGer C-536/2015, C-537/2015 vom 6. Juni 2017 E. 9.3 m.w.H. und BGer 9C_305/2016 vom 23. Mai 2017 E. 6).</w:t>
      </w:r>
    </w:p>
    <w:p>
      <w:r>
        <w:rPr>
          <w:b/>
        </w:rPr>
        <w:t>E. 8.4.3</w:t>
      </w:r>
    </w:p>
    <w:p>
      <w:r>
        <w:t>Wie die Vorinstanz korrekt festgestellt hat, beruft sich die Beschwerdeführerin bezüglich der Preisfestsetzung für D._______ auf diese Rechtsprechung. Damals gab es für die Fabrikabgabepreise der im TQV berücksichtigten Vergleichspräparate noch kein Stichdatum. Diese Lücke wurde mit dem am 1. März 2017 in Kraft getretenen Art. 34f Abs. 3 KLV geschlossen (vgl. AS 2017 633).</w:t>
      </w:r>
    </w:p>
    <w:p>
      <w:r>
        <w:rPr>
          <w:b/>
        </w:rPr>
        <w:t>E. 8.4.4</w:t>
      </w:r>
    </w:p>
    <w:p>
      <w:r>
        <w:t>Gemäss Art. 34f Abs. 3 KLV berücksichtigt das BAG Änderungen der für den therapeutischen Quervergleich notwendigen Daten sowie der gültigen Fabrikabgabepreise der Vergleichspräparate bis zum 1. Juli des Überprüfungsjahres.</w:t>
      </w:r>
    </w:p>
    <w:p>
      <w:r>
        <w:rPr>
          <w:b/>
        </w:rPr>
        <w:t>E. 8.4.5</w:t>
      </w:r>
    </w:p>
    <w:p>
      <w:r>
        <w:t>In der Publikation «Änderungen und Kommentar im Wortlaut» des BAG vom 1. Februar 2017 zu den vorgesehenen Änderungen der KVV und KLV per 1. März 2017 (nachfolgend: BAG-Kommentar) hielt das BAG zu Abs. 3 von Art. 34f KVV in Ziff. III/2.8 fest, Absatz 3 habe bisher die massgebliche Packung bei der Durchführung des TQV geregelt. Die Bestimmung werde in Artikel 65d Absatz 3 KVV verschoben. Neu regle Absatz 3, dass allfällige Änderungen des TQV (z.B. die Aufnahme weiterer Arzneimittel, die für den TQV berücksichtigt werden können) sowie der Fabrikabgabepreise der Vergleichspräparate bis zum 1. Juli des Überprüfungsjahres berücksichtigt würden. Damit werde sichergestellt, dass der TQV im Rahmen der Überprüfung der Aufnahmebedingungen alle drei Jahre mit möglichst aktuellen Werten erfolgt. Spätere Änderungen bei den Vergleichspräparaten könnten nicht mehr berücksichtigt werden, weil das BAG betroffenen Zulassungsinhaberinnen Änderungen nach dem 1. Juli des Überprüfungsjahres noch rechtzeitig bekannt geben würde und das rechtliche Gehör gewähren müsse, bevor eine allfällige Preissenkung verfügt werde.</w:t>
      </w:r>
    </w:p>
    <w:p>
      <w:r>
        <w:rPr>
          <w:b/>
        </w:rPr>
        <w:t>E. 8.4.6</w:t>
      </w:r>
    </w:p>
    <w:p>
      <w:r>
        <w:t>Der Wortlaut von Art. 34f Abs. 3 KLV ist klar und unmissverständlich. Es liegen keine triftigen Gründe vor und es wird auch nicht vorgebracht, dass der Wortlaut nicht den wahren Sinn der Bestimmung wiedergibt (vgl. BGE 145 II 182 E. 5.1). Demzufolge ist auf das Stichdatum des 1. Juli des Überprüfungsjahres abzustellen. Diese Regelung steht dem Vorbringen der Beschwerdeführerin, dass die Einteilung in die IT-Gruppen deshalb erfolge, um zu verhindern, dass Arzneimittel der gleichen therapeutischen Gruppe, die als Vergleichspräparate im TQV in Frage kämen, zu unterschiedlichen Zeitpunkten überprüft würden und die einen Vergleichsprodukte einen bereits gesenkten Preis aufweisen würden, während andere von noch nicht gesenkten und somit teureren Preisen profitieren könnten, nicht entgegen. C._______ und D._______ gehören nicht der gleichen IT-Gruppe an, was notgedrungen zu einer Überprüfung der Arzneimittel in einem anderen Kalenderjahr führt (vgl. E. 8.4.1). Die Vorinstanz durfte im TQV demzufolge den Fabrikabgabepreis berücksichtigen, welchen D._______ am 1. Juli 2017 besass.</w:t>
      </w:r>
    </w:p>
    <w:p>
      <w:r>
        <w:rPr>
          <w:b/>
        </w:rPr>
        <w:t>E. 8.5</w:t>
      </w:r>
    </w:p>
    <w:p>
      <w:r>
        <w:t>Des Weiteren ist umstritten, auf welche Quellen bezüglich der Dosierungsangaben für D._______ abzustellen ist.</w:t>
      </w:r>
    </w:p>
    <w:p>
      <w:r>
        <w:rPr>
          <w:b/>
        </w:rPr>
        <w:t>E. 8.5.1</w:t>
      </w:r>
    </w:p>
    <w:p>
      <w:r>
        <w:t>Ein Arzneimittel darf nur in den Grenzen der von Swissmedic zugelassenen Indikationen und Anwendungsvorschriften in die Spezialitätenliste aufgenommen werden, daher hat sich die Vorinstanz an den Wortlaut der Fachinformation zu halten (vgl. E. 5.7 hiervor). Sofern sich den Fachinformationen genaue Dosierungsvorschriften entnehmen lassen, anhand derer sich die durchschnittlichen Tagestherapiekosten berechnen lassen, ist darauf abzustellen. Denn ein TQV, welcher den unterschiedlichen Anwendungsvorschriften gemäss Fachinformation nicht Rechnung trägt, bildet die aus den verschiedenen vom Institut überprüften und genehmigten Dosierungsangaben entsprechend den unterschiedlichen Kosten pro Tag oder Kur der jeweiligen Arzneimittel nicht richtig ab. Hinsichtlich derjenigen Arzneimittel, für welche in den Fachinformationen keine genauen Dosierungsvorschriften vorhanden sind, kann die Bestimmung der Tagesdosis in der Regel lediglich approximativ erfolgen. Allerdings hat die Bestimmung der Tagesdosen im Rahmen der Untersuchungspflicht auf sachgerechte und nachvollziehbare Weise zu erfolgen (Urteil BVGer C-6091/2018 vom 20. August 2020 E. 7.3 m.H.).</w:t>
      </w:r>
    </w:p>
    <w:p>
      <w:r>
        <w:rPr>
          <w:b/>
        </w:rPr>
        <w:t>E. 8.5.2</w:t>
      </w:r>
    </w:p>
    <w:p>
      <w:r>
        <w:t>Der Fachinformation lässt sich wie bereits in E. 7.3 dargelegt folgende Dosierungsvorschrift entnehmen: Bei F._______ ist D._______ Crème dreimal wöchentlich vor dem Zubettgehen auf die betroffene Haut aufzutragen und für acht Stunden auf der Haut zu belassen. Die Behandlungsdauer soll 16 Wochen betragen. Unter Warnhinweise und Vorsichtsmassnahmen steht geschrieben, dass eine mehrtägige Therapiepause eingelegt werden kann, sollten die Beschwerden der Patienten oder der Schweregrad der lokalen Hautreaktion dies notwendig machen. Die Dosierungsvorschriften sind trotz des Warnhinweises klar, wurde doch nicht angegeben, die Behandlungsdauer müsse bei Beschwerden gekürzt werden. Entgegen der Ansicht der Beschwerdeführerin ist ein Therapieende entsprechend dem klinischen Resultat nicht bereits nach acht Wochen möglich. Es wird in der Fachinformation unter Warnhinweise und Vorsichtsmassnahmen lediglich ausgeführt, dass das klinische Resultat der Behandlung ca. acht Wochen nach Therapieende bestimmt werden könne. Da die Crème in Sachets erhältlich ist, werden für eine Kur 48 Sachets (dreimal wöchentlich à 16 Wochen) benötigt (vgl. E. 7.3). Überdies ist die Fachinformation auf dem Stand von April 2019 (vgl. E. 5.7 und &lt; https://www.swissmedicinfo.ch/ &gt;, besucht am 01.12.2020).</w:t>
      </w:r>
    </w:p>
    <w:p>
      <w:r>
        <w:rPr>
          <w:b/>
        </w:rPr>
        <w:t>E. 8.5.3</w:t>
      </w:r>
    </w:p>
    <w:p>
      <w:r>
        <w:t>Die Beschwerdeführerin bringt gestützt auf weitere Leitlinien und Studien vor, für eine Kur mit D._______ würden lediglich 18 Beutel benötigt (drei Beutel pro Woche während einer mittleren Dauer von sechs Wochen; vgl. E. 6.1). Nachfolgend wird ein Blick auf diese Studien und Leitlinien geworfen.</w:t>
      </w:r>
    </w:p>
    <w:p>
      <w:r>
        <w:rPr>
          <w:b/>
        </w:rPr>
        <w:t>E. 8.5.3.1</w:t>
      </w:r>
    </w:p>
    <w:p>
      <w:r>
        <w:t>Dem Leitlinienprogramm M._______, lässt sich folgende Dosierungsempfehlung entnehmen (vgl. &lt; https://[...] &gt;, abgerufen am 01.12.2020): Z._______ 5% Creme (D._______) soll über vier Wochen jeweils dreimal wöchentlich auf ein maximales Behandlungsareal von 25 cm2 aufgetragen werden. Nach einem vierwöchigen behandlungsfreien Zeitraum soll die Abheilung überprüft werden und ggf. ein zweiter Behandlungszyklus über vier Wochen angeschlossen werden. Studien zu diesem Anwendungsregime würden im Vergleich zur ursprünglichen 16-wöchigen bzw. 12-wöchigen Behandlung vergleichbare Therapieergebnisse bei geringerer Therapiedauer zeigen. Dabei wurde auf die deutsche Fachinformation von Februar 2019 Bezug genommen. Gemäss der Leitlinie I._______ (act. 4 Beilage 1 S5), wird D._______ dreimal wöchentlich für vier Wochen appliziert, dann folgt eine Pause von vier Wochen. Wenn noch Läsionen vorhanden seien, soll die Behandlung weitere vier Wochen fortgesetzt werden. Diesen Leitlinien zufolge würde - wie von der Beschwerdeführerin vorgebracht - eine mittlere Behandlungsdauer sechs Wochen betragen.</w:t>
      </w:r>
    </w:p>
    <w:p>
      <w:r>
        <w:rPr>
          <w:b/>
        </w:rPr>
        <w:t>E. 8.5.3.2</w:t>
      </w:r>
    </w:p>
    <w:p>
      <w:r>
        <w:t>Die Leitlinie N._______ für 5% Z._______ (vgl. act. 4 Beilage 2 S. 6) spricht von einer zwei- oder dreimaligen Applikation wöchentlich für eine Periode von vier bis 16 Wochen, durchgehend oder mit Unterbrechungen. Es wird jedoch festgehalten, dass es sich dabei nicht um eine Anwendungsempfehlung handle. Dieser Leitlinie zufolge kann somit nicht von einer kürzeren Behandlungsempfehlung ausgegangen werden.</w:t>
      </w:r>
    </w:p>
    <w:p>
      <w:r>
        <w:rPr>
          <w:b/>
        </w:rPr>
        <w:t>E. 8.5.3.3</w:t>
      </w:r>
    </w:p>
    <w:p>
      <w:r>
        <w:t>Die Leitlinie O._______ vgl. act. 4 Beilage 3 Ziff. 8.2.2) spricht von einer zwei- bis dreimaligen Anwendung wöchentlich à vier Wochen, welche, falls notwendig, für weitere vier Wochen wiederholt werden könne. Dieser Leitlinie zufolge würde eine mittlere Behandlungsdauer sechs Wochen betragen.</w:t>
      </w:r>
    </w:p>
    <w:p>
      <w:r>
        <w:rPr>
          <w:b/>
        </w:rPr>
        <w:t>E. 8.5.3.4</w:t>
      </w:r>
    </w:p>
    <w:p>
      <w:r>
        <w:t>Die Studie G._______ (vgl. BVGer-act. 1 Beilage 4) vom (...) wurde von der L._______, der Zulassungsinhaberin von D._______, gesponsert. Gemäss dieser Studie wurde in der Praxis D._______ dreimal wöchentlich während vier Wochen, gefolgt von einer Pause von vier Wochen und gegebenenfalls einem zweiten Zyklus von vier Wochen Behandlung eingesetzt. Der zweiten von der L._______ gesponserten Studie H._______ (vgl. BVGer-act. 1 Beilage 5) vom 9. April 2016 kann dieselbe Behandlungsdosis und -dauer entnommen werden. Bei diesen Studien handelt es sich jedoch nicht um "peer-reviewed" publizierte Studien. Die Qualität dieser Studien wurde somit nicht von Gutachtern aus dem Fachgebiet kritisch überprüft. Die "Peer Review" ist jedoch ein wichtiges Qualitätsinstrument wissenschaftlicher Publikationen (vgl. &lt; https://[...] &gt;). Überdies sind bei Studien, welche wie in casu von der Industrie gesponsert werden, Verzerrungen der Resultate zugunsten der Substanz des Sponsors bekannt (vgl. Schweizerische Ärztezeitung, 2009; 90: 41).</w:t>
      </w:r>
    </w:p>
    <w:p>
      <w:r>
        <w:rPr>
          <w:b/>
        </w:rPr>
        <w:t>E. 8.5.3.5</w:t>
      </w:r>
    </w:p>
    <w:p>
      <w:r>
        <w:t>Aus der J._______ (&lt; https://[...]) kann entnommen werden, dass in der Schweiz für Z._______ (D._______) eine Behandlung von dreimal wöchentlich für 16 Wochen empfohlen wird. Ferner wird auf zwei Studien aus dem Jahr 2007 verwiesen, welche die Wirksamkeit und Sicherheit von D._______ während einer Behandlungsdauer von zwei Zyklen à jeweils vier Wochen untersuchten. Eine Empfehlung oder eine Präferenz für eine kürzere Anwendungsdauer findet sich in diesen Studien jedoch nicht.</w:t>
      </w:r>
    </w:p>
    <w:p>
      <w:r>
        <w:rPr>
          <w:b/>
        </w:rPr>
        <w:t>E. 8.5.3.6</w:t>
      </w:r>
    </w:p>
    <w:p>
      <w:r>
        <w:t>In der K._______ (BVGer-act. 10 Beilage 1) wurde festgehalten, dass die Standarddosierung zweimal wöchentlich à 16 Wochen betrage. Es wurde auf weitere Publikationen verwiesen, in welchen die Dosierung und Therapiedauer von D.________ bei der Mehrheit der Patienten dreimal wöchentlich à zweimal vier Wochen mit einem Unterbruch von vier Wochen betrug. Die meisten Patienten hätten zwei Behandlungsperioden gehabt. Nur einige Patienten hätten weitere vier Wochen behandelt werden müssen. Eine weitere Publikation, die erwähnt wird, spricht von einer dreimal wöchentlichen Anwendung à 12 Wochen oder solange, bis die Läsion zurückgegangen sei. Bei der zuletzt erwähnten Studie erhielt ein Patient eine Dosierung von dreimal wöchentlich während vier Wochen. Zwei weitere Patienten erhielten eine zwei- bis dreimal wöchentliche Behandlung mit regelmässigen Unterbrüchen. Nach acht Wochen Pause sei die Behandlung zweimal wöchentlich für neun Monate fortgesetzt worden. Auch diesen Studien ist keine Empfehlung oder eine Präferenz für eine kürzere Anwendung zu entnehmen.</w:t>
      </w:r>
    </w:p>
    <w:p>
      <w:r>
        <w:rPr>
          <w:b/>
        </w:rPr>
        <w:t>E. 8.5.3.7</w:t>
      </w:r>
    </w:p>
    <w:p>
      <w:r>
        <w:t>Gemäss der P._______ (vgl. &lt; https://[...] &gt;, abgerufen am 01.12.2020) wird D.________ mit einer Dosierung von dreimal wöchentlich über vier Wochen mit eventueller Wiederholung nach vier Wochen in einem zweiten Behandlungszyklus eingesetzt. Sollte keine vollständige Abheilung der Läsion rund acht Wochen nach dem letzten vierwöchigen Behandlungszeitraum festgestellt werden, könne eine weitere vierwöchige Behandlung in Erwägung gezogen werden. Diesen Angaben zufolge würde eine mittlere Behandlungsdauer sechs Wochen betragen. Sie kann jedoch bis zu 12 Wochen dauern.</w:t>
      </w:r>
    </w:p>
    <w:p>
      <w:r>
        <w:rPr>
          <w:b/>
        </w:rPr>
        <w:t>E. 8.5.3.8</w:t>
      </w:r>
    </w:p>
    <w:p>
      <w:r>
        <w:t>In der Pharma-Kritik wurde empfohlen, D._______ dreimal wöchentlich, beschränkt auf drei Wochen - respektive unter Hinweis, dass über die optimale Anwendungsdauer verschiedene Meinungen herrschen würden - während einem Zyklus von vier Wochen einzusetzen (vgl. https://[...] und https://[...]). Dabei handelt es sich jedoch um Einzelmeinungen und keine Studien.</w:t>
      </w:r>
    </w:p>
    <w:p>
      <w:r>
        <w:rPr>
          <w:b/>
        </w:rPr>
        <w:t>E. 8.5.4</w:t>
      </w:r>
    </w:p>
    <w:p>
      <w:r>
        <w:t>Gemäss der Dosierungsvorschrift der Fachinformation werden für eine Kur 48 Beutel (drei Beutel wöchentlich à 16 Wochen) benötigt. Der FAP für 12 Beutel beträgt CHF 71.61 (vgl. act. 2). Eine Kur mit 48 Beuteln kostet demzufolge CHF 286.44 (4 x CHF 71.61). Eine Kur mit einer Applikation von 18 Beuteln (drei Beutel pro Woche während einer mittleren Dauer von 6 Wochen), wie von der Beschwerdeführerin propagiert und vom M._______ (vgl. E. 8.5.3.1), der Leitlinie der O.________ (vgl. E. 8.5.3.3) und der P._______ (vgl. E. 8.5.3.7) empfohlen, würde CHF 143.22 kosten (2 Packungen à 12 Beutel; vgl. act. 4 Tab. 1). Die im TQV berücksichtigten Kurkosten von B._______ belaufen sich auf CHF 91.20 (vgl. act. 1 S. 5) und jene von C._______ - wie von der Beschwerdeführerin auf Beschwerdeebene zu Recht anerkannt (vgl. E. 6.4) - auf CHF 26.78 (vgl. act. 1 S. 5). Die Kurkosten von D._______ wären somit auch unter Berücksichtigung der tieferen Dosierung noch CHF 52.02 höher als die Kurkosten von B._______. Gegenüber der im TQV berücksichtigten Alternative C._______ wäre D._______ sogar 5.35-mal teurer.</w:t>
      </w:r>
    </w:p>
    <w:p>
      <w:r>
        <w:rPr>
          <w:b/>
        </w:rPr>
        <w:t>E. 8.5.5</w:t>
      </w:r>
    </w:p>
    <w:p>
      <w:r>
        <w:t>Gemäss bundesgerichtlicher Rechtsprechung ist beim TQV zu prüfen, ob gleich wirksame und zweckmässige Arzneimittel zur Verfügung stehen, welche kostengünstiger als das zu überprüfende Arzneimittel sind (BGE 143 V 369 E. 5.4.3). Nach der Rechtsprechung besteht keine Pflicht, die Vergleichsgruppe für den TQV aus sämtlichen in Frage kommenden, d.h. vergleichbaren Arzneimittel zu bilden (Urteil 9C_354/2017 E. 6.2 m.H.), weshalb die Beschwerdeführerin allein aus der Vergleichbarkeit nichts zu ihren Gunsten ableiten kann. Für die Vergleichsgruppenbildung ist vielmehr auch das Ziel der möglichst günstigen Kosten (bei gleichzeitig qualitativ hochstehender und zweckmässiger gesundheitlicher Versorgung) entscheidend. Eine Pflicht, die Vergleichsgruppe aus sämtlichen in Frage kommenden (d.h. vergleichbaren) Arzneimitteln zu bilden, würde das Wirtschaftlichkeits- bzw. das Sparsamkeitsgebot unterminieren, müssten doch auch überdurchschnittlich teure, gleich wirksame Präparate in den Vergleich einbezogen werden, wodurch das Preisniveau hoch bliebe, selbst wenn gleichzeitig wesentlich billigere, gleich wirksame Präparate zur Verfügung stünden. Daher muss es der Verwaltung anheimgestellt werden, aus der Menge der vergleichbaren Arzneimittel nur jene für den TQV beizuziehen, die ein gutes Verhältnis zwischen dem medizinischen Nutzen und den Kosten aufweisen. Denn nur ein derartiger Vergleich ermöglicht es, «überholte Leistungen auszumustern» bzw. deren Preise zu senken. Eine umfassende Wirtschaftlichkeitsprüfung im Sinne von BGE 142 V 26 verlangt zwar - wenn immer möglich - den Einbezug einer Kosten-Nutzen-Analyse, nicht aber den Einbezug sämtlicher Vergleichsarzneimittel (BGE 143 V 369 E. 5.3.2 m.H). Überdurchschnittlich teure Arzneimittel können folglich vom TQV ausgeschlossen werden, um zu verhindern, dass das Preisniveau hoch bleibt (vgl. Urteil des BVGer C-6092/2018 vom 13. Oktober 2020 E. 6.1.3 m.H.). Vorliegend ist daher nachvollziehbar und zulässig, dass die Vorinstanz D._______ nicht in den TQV einbezog.</w:t>
      </w:r>
    </w:p>
    <w:p>
      <w:r>
        <w:rPr>
          <w:b/>
        </w:rPr>
        <w:t>E. 8.6</w:t>
      </w:r>
    </w:p>
    <w:p>
      <w:r>
        <w:t>Weiter rügt die Beschwerdeführerin, dass die Vorinstanz bei der Bil-dung der Vergleichsgruppe für den TQV von B._______ das Rechtsgleichheitsgebot, das Gebot der Gleichbehandlung direkter Konkurrenten und das Willkürverbot verletzt habe.</w:t>
      </w:r>
    </w:p>
    <w:p>
      <w:r>
        <w:rPr>
          <w:b/>
        </w:rPr>
        <w:t>E. 8.6.1</w:t>
      </w:r>
    </w:p>
    <w:p>
      <w:r>
        <w:t>Zunächst ist festzuhalten, dass die Wirtschaftsfreiheit im Bereich der obligatorischen Krankenpflegeversicherung weitgehend nicht gilt. Preisvorschriften in Bereichen, in denen von vornherein kein privatwirtschaftlicher Wettbewerb herrscht, wie bei der Festlegung von Tarifen für Leistungen, die durch die staatlich finanzierte Sozialversicherung bezahlt werden, sind zulässig. Die Wirtschaftsfreiheit darf nicht so verstanden werden, dass sie ein Recht darauf gäbe, zu Lasten der staatlich mitfinanzierten Sozialversicherung Einkommen zu generieren. Unter dem Aspekt der Wirtschaftsfreiheit kann daher höchstens ein Recht auf Gleichbehandlung mit den direkten Konkurrenten geltend gemacht werden (vgl. BGE 138 II 398 E. 3.9.2). Dabei ist aber den Besonderheiten Rechnung zu tragen, dass die betreffende wirtschaftliche Tätigkeit faktisch über ein System erfolgt, das seinerseits der Wirtschaftsfreiheit (weitgehend) entzogen ist (vgl. Urteil C-7112/2017 vom 26. September 2019 E. 8.1 m.H.). Es ist daher unvermeidlich, dass dadurch der Anspruch auf Gleichbehandlung der Gewerbegenossen im Bereich der Modalitäten der Preisfestsetzung von Arzneimitteln in der Spezialitätenliste stark relativiert wird.</w:t>
      </w:r>
    </w:p>
    <w:p>
      <w:r>
        <w:rPr>
          <w:b/>
        </w:rPr>
        <w:t>E. 8.6.2</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125 I 431 E. 4b/aa). Es wird allerdings keine absolute Gleichbehandlung privater Marktteilnehmer verlangt. Unterscheidungen sind zulässig, sofern sie objektiven Kriterien entsprechen und nicht systemwidrig sind (Urteil des BGer 2C_561/2007 vom 6. November 2008 E. 5.2 m.H. auf BGE 132 I 97 E. 2.1). Im vorliegenden Fall ist es zweifelhaft, ob sich die Beschwerdeführerin überhaupt auf den Grundsatz der Gleichbehandlung der Gewerbegenossen berufen kann. Einerseits ist das Arzneimittel D._______ in der SL gelistet und kann somit bereits über die obligatorische Krankenpflegeversicherung (OKP) abgerechnet werden. Der Zugang zum durch die Krankenversicherung vergüteten Arzneimittelmarkt wird der Beschwerdeführerin somit nicht verwehrt. Soweit die Beschwerdeführerin vorbringt, D._______ sei gegenüber C._______ benachteiligt, weil bei C._______ im TQV bereits ein gesenkter Preis berücksichtigt worden sei, kann sie daraus nichts zu ihren Gunsten ableiten. Die Vorinstanz durfte vom Fabrikabgabepreis ausgehen, den D._______ am 1. Juli 2017 besass (vgl. vorgehend E. 8.4). Im OKP-Arzneimittelmarkt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C-6516/2018 vom 1. Oktober 2020 E. 7.8.5). Eine Verletzung des Grundsatzes der Gleichbehandlung der Gewerbegenossen liegt somit nicht vor.</w:t>
      </w:r>
    </w:p>
    <w:p>
      <w:r>
        <w:rPr>
          <w:b/>
        </w:rPr>
        <w:t>E. 8.6.3</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 unhaltbar ist. Dass eine andere Lösung ebenfalls als vertretbar oder gar zutreffender erscheint, ge-nügt nicht (BGE 138 I 305 E. 4.3; 137 I 1 E. 2.4; 133 I 149 E. 3.1 m.w.H).</w:t>
      </w:r>
    </w:p>
    <w:p>
      <w:r>
        <w:rPr>
          <w:b/>
        </w:rPr>
        <w:t>E. 8.6.4</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m.H.; Urteil des BGer 8C_676/2010 vom 11. Februar 2011; ZIBUNG/HOFSTETTER, in: Praxiskommentar VwVG, 2016, Rz. 30 zu Art. 49).</w:t>
      </w:r>
    </w:p>
    <w:p>
      <w:r>
        <w:rPr>
          <w:b/>
        </w:rPr>
        <w:t>E. 8.6.5</w:t>
      </w:r>
    </w:p>
    <w:p>
      <w:r>
        <w:t>Wie bereits oben dargelegt wurde, beruht die von der Vorinstanz vor-genommene Auswahl der Vergleichspräparate für den TQV auf sachlichen Gründen. Es ist grundsätzlich zulässig, Arzneimittel vom TQV auszuschliessen, auch wenn sie über die gleiche Indikation wie das Ausgangs-präparat verfügen. In dieser Hinsicht liegt keine Verletzung der Rechts-gleichheit bzw. des Willkürverbots vor und die Vorinstanz hat ihr Ermessen pflichtgemäss ausgeübt. Zu beachten ist zudem, dass im System der Preisüberprüfungen von Arzneimitteln der SL jedes Arzneimittel gesondert zu überprüfen ist. Eine fixe Bildung von Gruppen von Konkurrenzarzneimitteln, die jeweils im gleichen Paket einem gegenseitigen TQV unterworfen werden, ist weder vom Gesetz noch von den Verordnungen vorgesehen. Vielmehr verlangen Gesetz und Verordnungen, dass jedes einzelne Arzneimittel jederzeit sämtliche SL-Aufnahmebedingungen einzuhalten hat, ansonsten es von der SL gestrichen wird (vgl. Urteil des BVGer C-536/2015, C-537/2015 E. 8.3.5).</w:t>
      </w:r>
    </w:p>
    <w:p>
      <w:r>
        <w:rPr>
          <w:b/>
        </w:rPr>
        <w:t>E. 8.7</w:t>
      </w:r>
    </w:p>
    <w:p>
      <w:r>
        <w:t>Die Beschwerdeführerin macht sodann geltend, der TQV sei bei der Aufnahme von B._______ in die SL mit D._______, C._______ und E._______ durchgeführt worden. Diese Dauerverfügung sei in Rechtskraft erwachsen. Der Preis von D._______ sei schon damals deutlich höher gewesen als der Preis von B._______. Die Vorinstanz könne sich deshalb nicht darauf berufen, der TQV sei bei der Aufnahme fehlerhaft gewesen.</w:t>
      </w:r>
    </w:p>
    <w:p>
      <w:r>
        <w:rPr>
          <w:b/>
        </w:rPr>
        <w:t>E. 8.7.1</w:t>
      </w:r>
    </w:p>
    <w:p>
      <w:r>
        <w:t>Erstinstanzliche Verwaltungsverfügungen entfalten - im Gegensatz zu Gerichtsurteilen - keine materielle Rechtskraft; sie werden lediglich rechtsbeständig (PIERRE TSCHANNEN/ULRICH ZIMMERLI/MARKUS MÜLLER, Allgemeines Verwaltungsrecht, 4. Aufl. 2014, S. 299 Rz. 9; ALFRED KÖLZ/ ISABELLE HÄNER/MARTIN BERTSCHI, Verwaltungsverfahren und Verwaltungsrechtspflege des Bundes, 3. Aufl. 2013, Rz. 713). Sie sind daher grundsätzlich, unter bestimmten Voraussetzungen, revidierbar (TSCHAN-NEN/ZIMMERLI/MÜLLER, a.a.O., S. 303 Rz. 21). Mit Bezug auf formell rechts-kräftige Dauerverfügungen werden vier Konstellationen unterschieden, in denen sich die Frage eines Rückkommens stellt (vgl. BGE 140 V 514 E. 3.2): 1. Anfängliche tatsächliche Unrichtigkeit (fehlerhafte Sachverhalts-feststellung); 2. Nachträgliche tatsächliche Unrichtigkeit (Änderung des Sachverhalts nach Verfügungserlass bzw. Eintritt der formellen Rechts-kraft); 3. Anfängliche rechtliche Unrichtigkeit (Verfügung beruht auf einer fehlerhaften Rechtsanwendung); 4. Nachträgliche rechtliche Unrichtigkeit (Änderung der massgebenden Rechtsgrundlagen oder Gerichtspraxis nach Verfügungserlass bzw. Eintritt der formellen Rechtskraft, vgl. BGE 135 V 201 E. 5.1 m.w.H.).</w:t>
      </w:r>
    </w:p>
    <w:p>
      <w:r>
        <w:rPr>
          <w:b/>
        </w:rPr>
        <w:t>E. 8.7.2</w:t>
      </w:r>
    </w:p>
    <w:p>
      <w:r>
        <w:t>Die Vorinstanz hat im TQV von B._______ bei der Aufnahme in die SL vom 1. Mai 2011 das überdurchschnittlich teure D._______ berücksichtigt. Dass sie D._______ im Rahmen der dreijährlichen Überprüfung von B._______ für den TQV nicht mehr beigezogen hat, lässt - entgegen der Argumentation der Beschwerdeführerin - nicht auf eine Praxisänderung schliessen, zumal aus den Akten keine Hinweise für eine Änderung der bisherigen Praxis im Zusammenhang mit dem TQV ersichtlich sind und von der Beschwerdeführerin auch nicht substanziiert geltend gemacht werden (vgl. zu den Kriterien für eine Praxisänderung HÄFELIN/MÜLLER/UHLMANN, Allgemeines Verwaltungsrecht, 7. Aufl. 2016, Rz. 589 ff.). Vielmehr ist die hier zur Diskussion stehende Konstellation unter dem Aspekt der Anpassung einer Dauerverfügung an eine neue Erkenntnis zu prüfen (vgl. Urteil des BVGer C-6516/2018 vom 20. Oktober 2020 E. 7.5.2).</w:t>
      </w:r>
    </w:p>
    <w:p>
      <w:r>
        <w:rPr>
          <w:b/>
        </w:rPr>
        <w:t>E. 8.7.3</w:t>
      </w:r>
    </w:p>
    <w:p>
      <w:r>
        <w:t>Soweit die Vorinstanz in der angefochtenen Verfügung das Arzneimittel D._______ nicht mehr berücksichtigt hat, ist der Argumentation der Beschwerdeführerin entgegen zu halten, dass das Wirtschaftlichkeitsgebot bzw. das Kostengünstigkeitsprinzip im Sinne von Art. 43 Abs. 6 KVG dem BAG erlauben, die Vergleichsgruppe in pflichtgemässer Ausübung seines Ermessens anzupassen (Urteil C-6516/2018 E. 7.5.4).</w:t>
      </w:r>
    </w:p>
    <w:p>
      <w:r>
        <w:rPr>
          <w:b/>
        </w:rPr>
        <w:t>E. 8.7.4</w:t>
      </w:r>
    </w:p>
    <w:p>
      <w:r>
        <w:t>Zwar sind im Regelfall für den TQV bei der dreijährlichen Überprüfung dieselben Arzneimittel beizuziehen, die auch bei der Preisbestimmung im Rahmen der Neuaufnahme zugrunde gelegt worden sind (vgl. Handbuch betreffend die Spezialitätenliste 2017 Ziff. E. 1.9.1 &lt; www.bag.admin.ch &gt; Versicherungen &gt; Krankenversicherung &gt; Bezeichnung der Leistungen &gt; Antragsprozesse &gt; Antragsprozesse Arzneimittel, abgerufen am 01.12.2020). Dieser Grundsatz verleiht der Zulassungsinhaberin indes keinen Anspruch auf eine identische Durchführung des TQV im Rahmen der späteren (dreijährlichen) Überprüfung (vgl. Urteil C-6516/2018 E. 7.5.4.) Es ist vielmehr eine Interessenabwägung erforderlich. Dabei ist zwischen dem Interesse an der richtigen Anwendung des objektiven Rechts einerseits und dem Interesse an der Rechtssicherheit beziehungsweise dem Vertrauensschutz anderseits abzuwägen (HÄFELIN/MÜLLER/UHLMANN, Allgemeines Verwaltungsrecht, 7. Aufl. 2016, Rz. 1227). Dem Grundsatz der Gesetzmässigkeit kommt bei der Interessenabwägung regelmässig Vorrang vor dem Vertrauensschutz zu (TSCHANNEN/ZIMMERLI/MÜLLER, a.a.O., S. 174 Rz. 9). Der Vorrang des Legalitätsprinzips gilt umso mehr in Fällen wie dem vorliegenden, wo die periodische Überprüfung der Aufnahmebedingungen der Behörde durch den Gesetz- und Verordnungsgeber explizit vorgeschrieben wird (Art. 32 Abs. 2 KVG; Art. 65d Abs. 1 KVV; vgl. Urteil des BVGer C-491/2018 vom 29. Januar 2020 E. 7.6.3).</w:t>
      </w:r>
    </w:p>
    <w:p>
      <w:r>
        <w:rPr>
          <w:b/>
        </w:rPr>
        <w:t>E. 8.7.5</w:t>
      </w:r>
    </w:p>
    <w:p>
      <w:r>
        <w:t>Daraus folgt, dass die Vorinstanz im Rahmen der dreijährlichen Über-prüfung von der (im Rahmen des TQV) bei der Neuaufnahme getroffenen Auswahl der Vergleichsmedikamente abweichen darf, wenn sie - wie hier - dafür gewichtige sachliche Gründe ins Feld führen kann und der Grundsatz der Gesetzmässigkeit höher zu gewichten ist als der Vertrauensschutz.</w:t>
      </w:r>
    </w:p>
    <w:p>
      <w:r>
        <w:rPr>
          <w:b/>
        </w:rPr>
        <w:t>E. 8.8</w:t>
      </w:r>
    </w:p>
    <w:p>
      <w:r>
        <w:t>Zusammenfassend ergibt sich, dass die Vorinstanz D._______ zurecht aus dem TQV ausschloss und stattdessen nur C._______ als Vergleichspräparat berücksichtigte. Damit erweist sich die Beschwerde als unbegründet und ist abzuweisen.</w:t>
      </w:r>
    </w:p>
    <w:p>
      <w:r>
        <w:rPr>
          <w:b/>
        </w:rPr>
        <w:t>E. 9</w:t>
      </w:r>
    </w:p>
    <w:p>
      <w:r>
        <w:t>Zu befinden bleibt noch über die Verfahrenskosten und eine allfällige Parteientschädigung.</w:t>
      </w:r>
    </w:p>
    <w:p>
      <w:r>
        <w:rPr>
          <w:b/>
        </w:rPr>
        <w:t>E. 9.1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auf Fr. 5'000.- festzusetzen. Der einbezahlte Kostenvorschuss ist zur Bezah-lung der Verfahrenskosten zu verwenden.</w:t>
      </w:r>
    </w:p>
    <w:p>
      <w:r>
        <w:rPr>
          <w:b/>
        </w:rPr>
        <w:t>E. 9.2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