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C-3585/2012 vom 25. April 2013</w:t>
      </w:r>
    </w:p>
    <w:p>
      <w:r>
        <w:t>Bundesverwaltungsgericht, 2013-04-25, IT</w:t>
      </w:r>
    </w:p>
    <w:p>
      <w:r>
        <w:rPr>
          <w:b/>
        </w:rPr>
        <w:t xml:space="preserve">Quelle: </w:t>
      </w:r>
      <w:r>
        <w:t>https://mcp.opencaselaw.ch/entscheid/bvger_C-3585_2012</w:t>
      </w:r>
    </w:p>
    <w:p>
      <w:r>
        <w:t>FR: TAF C-3585/2012 du 25 avril 2013</w:t>
      </w:r>
    </w:p>
    <w:p>
      <w:r>
        <w:t>IT: TAF C-3585/2012 del 25 aprile 2013</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Giusta l'art. 33a cpv. 1 PA il procedimento si svolge in una della quattro lingue ufficiali, di regola nella lingua in cui le parti hanno presentato o presenterebbero le conclusioni. Il cpv. 2 della stessa norma stabilisce che nei procedimenti su ricorso è determinante la lingua della decisione impugnata. Se le parti utilizzano un'altra lingua ufficiale, il procedimento può svolgersi in tale lingua. Nella fattispecie, la decisione impugnata è redatta in italiano. Dall'incarto emerge inoltre che il ricorrente medesimo è cittadino italiano residente in Italia e di lingua madre italiana. Gran parte degli atti, come pure la perizia a suo tempo ordinata, sono in italiano. Visto quanto precede, è giustificato che anche la sentenza sia redatta in lingua italiana.</w:t>
      </w:r>
    </w:p>
    <w:p>
      <w:r>
        <w:rPr>
          <w:b/>
        </w:rPr>
        <w:t>E. 2.3</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2.4</w:t>
      </w:r>
    </w:p>
    <w:p>
      <w:r>
        <w:t>Il ricorso è tempestivo e rispetta i requisiti minimi prescritti dalla legge (art. 60 LPGA e 52 PA). L'interessato ha versato l'anticipo per le spese processuali nella misura di 400 franchi, entro il termine impartito. Il gravame è dunque ammissibile, nulla ostando all'esame del merito dello stesso.</w:t>
      </w:r>
    </w:p>
    <w:p>
      <w:r>
        <w:rPr>
          <w:b/>
        </w:rPr>
        <w:t>E. 3.1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 che non sono rilevanti per la fattispecie.</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dei fatti giuridicamente rilevanti si sono verificati (ATF 136 V 24 consid. 4.3). Ne consegue che il diritto alla rendita si esamina fino al 31 dicembre 2011 alla luce delle precedenti norme e, a partire da quella data, secondo le nuove disposizioni.</w:t>
      </w:r>
    </w:p>
    <w:p>
      <w:r>
        <w:rPr>
          <w:b/>
        </w:rPr>
        <w:t>E. 5</w:t>
      </w:r>
    </w:p>
    <w:p>
      <w:r>
        <w:t>Il periodo di cognizione giudiziaria dello scrivente Tribunale amministrativo federale si estende fino al 29 maggio 2012, data dell'impugnata decisione. Il giudice delle assicurazioni sociali analizza, infatti, la legalità della decisione impugnata, in generale, secondo lo stato di fatto esistente al momento in cui la decisione in lite è stata resa (DTF 130 V 445 consid. 1.2).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w:t>
      </w:r>
    </w:p>
    <w:p>
      <w:r>
        <w:rPr>
          <w:b/>
        </w:rPr>
        <w:t>E. 7.2</w:t>
      </w:r>
    </w:p>
    <w:p>
      <w:r>
        <w:t>La revisione avviene d'ufficio o su domanda.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è fatto domanda di revisione, nella domanda si deve dimostrare che il grado d'invalidità o di grande invalidità o il volume dell'assistenza dovuta all'invalidità è modificato in misura rilevante per il diritto alla prestazioni (art. 87 cpv. 3 OAI).</w:t>
      </w:r>
    </w:p>
    <w:p>
      <w:r>
        <w:rPr>
          <w:b/>
        </w:rPr>
        <w:t>E. 7.3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delle rendita avviene, al più presto, se l'assicurato ha chiesto la revisione a partire dal mese in cui la domanda è stata inoltrata; se la revisione avviene d'ufficio, a partire dal mese in cui è stata prevista (art. 88bis, cpv. 1 lett a e b OAI. In caso di riduzione o soppressione della rendita, questa avviene il primo giorno del secondo mese che segue la notifica della decisione (art. 88bis cpv. 2 lett. a OAI).</w:t>
      </w:r>
    </w:p>
    <w:p>
      <w:r>
        <w:rPr>
          <w:b/>
        </w:rPr>
        <w:t>E. 7.4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w:t>
      </w:r>
    </w:p>
    <w:p>
      <w:r>
        <w:rPr>
          <w:b/>
        </w:rPr>
        <w:t>E. 7.5</w:t>
      </w:r>
    </w:p>
    <w:p>
      <w:r>
        <w:t>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w:t>
      </w:r>
    </w:p>
    <w:p>
      <w:r>
        <w:rPr>
          <w:b/>
        </w:rPr>
        <w:t>E. 8.1</w:t>
      </w:r>
    </w:p>
    <w:p>
      <w:r>
        <w:t>Nella fattispecie, l'autorità inferiore ha avviato una procedura di revisione d'ufficio il 21 aprile 2008 (doc. 87 e 88) che è stata evasa con comunicazione del 2 luglio 2009 (doc. 114). Questa comunicazione menzionava che l'interessato, se non era d'accordo con la conferma della mezza rendita, avrebbe potuto chiedere una decisione soggetta a ricorso. Con scritto del 24 luglio 2009 l'interessato si è opposto a questa comunicazione facendo valere un peggioramento del suo stato di salute. L'autorità inferiore ha però considerato questo scritto come una domanda di revisione. In realtà, lo scritto del 24 luglio 2009, che fa seguito alla comunicazione del 2 luglio 2009, doveva essere piuttosto interpretato come una domanda volta ad ottenere una decisione formale in merito alla procedura di revisione d'ufficio. L'esame della procedura deve quindi essere svolto tenendo conto del fatto che si tratta di una revisione d'ufficio e non di una domanda di revisione intentata dall'interessato. Non incombe quindi al ricorrente dimostrare che il grado d'invalidità si è modificato in misura rilevante per il diritto alla prestazioni come lo prevede l'art. 87 cpv. 3 OAI. Incombeva invece all'autorità inferiore esaminare la fattispecie da un punto di vista materiale e, in particolare, verificare se si è effettivamente realizzata una modifica del grado d'invalidità dell'assicurato.</w:t>
      </w:r>
    </w:p>
    <w:p>
      <w:r>
        <w:rPr>
          <w:b/>
        </w:rPr>
        <w:t>E. 8.2</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23 ottobre 1998, con la quale la Cassa di compensazione del Cantone di Friborgo ha erogato in favore dell'assicurato una mezza rendita AI a decorrere dal 1° gennaio 1997, ed il 29 maggio 2012, data della decisione impugnata. Le procedure di revisione avviate nel 2001 e nel 2004 non sono influenti dal momento che sono state scarsamente sorrette da documentazione clinica-oggettiva e da accertamenti economico-lavorativi completi.</w:t>
      </w:r>
    </w:p>
    <w:p>
      <w:r>
        <w:rPr>
          <w:b/>
        </w:rPr>
        <w:t>E. 9.1</w:t>
      </w:r>
    </w:p>
    <w:p>
      <w:r>
        <w:t>L'interessato ha esercitato un'attività lucrativa dopo il rimpatrio, segnatamente a partire dal 1999. Da quel che si può desumere dalla procedura di revisione del 2004, si trattava di un lavoro in proprio consistente nella piccola riparazione di autoveicoli. Da questa attività l'assicurato non ha tratto guadagni tali da dover porre in discussione il mantenimento del diritto alla mezza rendita AI. Sebbene la situazione economico-lavorativa non è più stata attualizzata nel corso di questa domanda di revisione, non vi sono elementi per far pensare che l'assicurato abbia aumentato il suo orario di lavoro con conseguente aumento della capacità di guadagno. Anzi, per quanto viene già affermato nella replica del 19 novembre 2010 (pag. 4) al ricorso del 3 maggio 2010 (Inc. C-3139/2010), l'interessato avrebbe definitivamente cessato di lavorare.</w:t>
      </w:r>
    </w:p>
    <w:p>
      <w:r>
        <w:rPr>
          <w:b/>
        </w:rPr>
        <w:t>E. 9.2</w:t>
      </w:r>
    </w:p>
    <w:p>
      <w:r>
        <w:t>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10.1</w:t>
      </w:r>
    </w:p>
    <w:p>
      <w:r>
        <w:t>Quando venne riconosciuta la mezza rendita AI dal punto di vista medico risultava che l'assicurato soffriva di lombalgie croniche su discopatia L4-L5 ed L5-S1, canale lombare stretto L3-L4, cervicobrachialgie su uncorartrosi bilaterale da C3 a C7, discoartrosi C5-C6 a destra, reazione depressiva prolungata con disturbo misto della personalità con tendenza allo sviluppo di una sindrome somatoforme dolorosa (cfr., segnatamente, il rapporto dell'Inselspital di Berna del 25 giugno 1996 e del COMAI di Losanna del 9 giugno 1998, doc. 3, 27 inc. I).</w:t>
      </w:r>
    </w:p>
    <w:p>
      <w:r>
        <w:rPr>
          <w:b/>
        </w:rPr>
        <w:t>E. 10.2</w:t>
      </w:r>
    </w:p>
    <w:p>
      <w:r>
        <w:t>Al momento della revisione in esame, l'UAIE ha ritenuto utile sottoporre il caso ad un'indagine neurologica presso il Dott. Bonetti di Mendrisio. Ciò in quanto il Dott. Waldburger (reumatologo, Friborgo), nel suo referto del 17 febbraio 2010 (doc. 140 inc. I), aveva rilevato lombosciatalgie D iperalgiche non deficitarie su disturbi degenerativi e della statica avanzati con stretta discopatia L4-L5, L5-S1 e meno a livello di L3-L4, artrosi posteriore, canale spinale stretto ed ernia discale L4-L5 ed L5-S1; cervicoartrosi avanzata con DISH ed uncoartrosi stratificata C3-C4, C4-C5, C5-C6, C6-C7, malattia di Forestier. Inoltre, lo stesso medico, nel suo ultimo rapporto del 17 novembre 2010 (doc. 13 incarto TAF C-3139/2010), aveva evidenziato una sospetta "claudicatio" neurogena. Il Dott. Bonetti ha quindi rilevato: sindrome pan vertebrale in presenza di alterazioni statico-degenerative del rachide, sia cervicale che lombosacrale, osteocondrosi, spondilo artrosi e discopatie e più livelli, senza conflitti radicolari né midollari oggettivabili, canale spinale lombare stretto radiologico, senza sintomi neurologici anamnestici sospetti, sindrome da dolore cronico emicorporale destro (doc. 24).</w:t>
      </w:r>
    </w:p>
    <w:p>
      <w:r>
        <w:rPr>
          <w:b/>
        </w:rPr>
        <w:t>E. 11.1</w:t>
      </w:r>
    </w:p>
    <w:p>
      <w:r>
        <w:t>Per quanto riguarda le conseguenze invalidanti delle menzionate affezioni, al collegio giudicante si pongono a confronto due pareri. Da una parte quello del Dott. Waldburger, reumatologo, (cfr. rapporti del 17 febbraio 2010 e 17 novembre 2010) e poi quello del Dott. Bonetti del 7 marzo 2012 (visita del 13 settembre 2011). Dal canto suo, il medico dell'INPS, nella sua perizia particolareggiata del 7 aprile 2009 (doc. 110 inc. I), pone un tasso d'invalidità del 55%.</w:t>
      </w:r>
    </w:p>
    <w:p>
      <w:r>
        <w:rPr>
          <w:b/>
        </w:rPr>
        <w:t>E. 11.2</w:t>
      </w:r>
    </w:p>
    <w:p>
      <w:r>
        <w:t>Al proposito, va rilevato che una perizia richiesta dall'UAIE (in casu un perito neurologo nominato dall'UAIE in esito alla sentenza di questo Tribunale del 24 gennaio 2011)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successiva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 12.1 Ora, il Dott. Waldburger ha sostenuto che la situazione presente nel 1998, posta a confronto con il recente bilancio radiologico, mostra un netto peggioramento dei disturbi della statica e degenerativi della colonna lombare dorsale e cervicale. Egli descrive il peggioramento da un punto di vista radiologico (doc. 140 inc. I, pag. 2). L'esperto osserva che le doglianze soggettive e le patologie (oggettive) che presenta il paziente sono nettamente più importanti di quelle riscontrate al momento in cui venne riconosciuto un grado d'invalidità del 54% (e una capacità lavorativa residua in attività sostitutive del 60%). In effetti, continua l'esperto reumatologo, i disturbi degenerativi con discoartrosi stratificata lombare, cervicale e dorsale, il canale spinale stretto e la discopatia infiammatoria L4-L5, dimostrano un'importante evoluzione rispetto alla situazione presente nel 1998. Il Dott. Waldburger stima attualmente all'80% il grado d'invalidità del paziente anche in attività leggere. 12.2 Dal canto suo, il Dott. Bonetti, prende atto dei rapporti redatti dal Dott. Waldburger, della documentazione oggettiva e della documentazione precedente. L'esperto perito esegue un nuovo esame clinico. A questo proposito può essere utile ricordare che l'invalidità non è un concetto medico, quanto piuttosto economico. L'assicurazione copre il danno derivante da un'incapacità di lavoro e di guadagno, non tanto la malattia in quanto tale. In questo senso si può osservare che, sebbene, come nella specie, un quadro radiologico può essere peggiorato rispetto ad un periodo precedente, ciò non si tramuta, automaticamente, in un aumento dell'incapacità di lavoro di un assicurato. Lo stesso si può dire, per esempio, in caso di revisione, con la comparsa di una nuova malattia o di un altro quadro patologico non presente al momento del riconoscimento di una prestazione AI. In altre parole, il grado d'invalidità non risulta dalla somma delle singole incapacità lavorative o dall'aggiunta posteriore alla data di riconoscimento di una certa prestazione, di un'altra patologia (per esempio di altra natura, o di complicazione di un'affezione delle stessa natura), ma piuttosto da una valutazione globale dell'incidenza di queste turbe sulla capacità di lavoro residua (in questo senso: DTF 123 V 45 consid. 3b e SVR 2008 IV n. 15 consid. 2.1). 12.3 Il Dott. Bonetti prende atto delle doglianze soggettive dell'assicurato (pag. 3), ossia (in riassunto) dei dolori a livello lombare, irradianti la gamba destra; le cervicalgie e brachialgie a destra; il senso di debolezza sul lato destro del corpo; i frequenti blocchi articolari in tutte le posizioni di lavoro; l'impossibilità di camminare a lungo, ecc. Queste sono anche le constatazioni del Dott. Waldburger. All'esame clinico-obbiettivo, il Dott. Bonetti constata, dopo un'introduzione riguardante la psiche peraltro integra, una motilità cervicale solo leggermente limitata, dolori locali senza irradiazioni disestetiche nei membri superiori; spiccata tensione dolorosa a livello delle osteotendinee nucali e della muscolatura paracervicale. Manovra di Adson negativa. Nervi cranici senza particolarità patologiche. Al sistema motorio e della coordinazione egli segnala (segnatamente): riflessi tendinei tutti presenti, simmetrici e normovivi; nessun segno piramidale; trofismo normale in tutti i punti; forza ridotta all'emicorpo destro, ma i singoli muscoli non mostrano deficit particolari; nessun problema a livello delle spalle, nessun problema delle cuffie dei rotatori; tenar normale bilateralmente; nessuna paresi di ogni tipo alle mani; assenza di tremore; prova di Romberg normale; la marcia presenta una zoppia antalgica a destra di tipo funzionale; nessun segno di Trendelenburg; marcia cieca normale, marcia a funambolo solo inizialmente traballante; il paziente cammina sulle punte, sui talloni; sale su gradini con l'una e con l'altra gamba; non esistono contratture della muscolatura pan vertebrale lombare; la contrazione gluteale è simmetrica; la sensibilità (neurologica) è conservata in modo ubiquitario per tutte le qualità, in particolare alle due mani ed al membro inferiore destro; pallestesia 8/8 ai 4 membri; altri segni (test) tipici di un esame neurologico sono negativi. Concludendo, il Dott. Bonetti rileva che per quanto risulta dagli atti e dal suo esame la situazione attuale è dal punto di vista clinico identica a quanto descritto a suo tempo nel rapporto della Clinica Universitaria di Losanna nel 1998 (COMAI). Dal punto di vista clinico, in via di estrema sintesi, il paziente presenta una sindrome dolorosa emicorporale destra, senza deficit sensitivo-motori oggettivabili, senza limitazioni funzionali maggiori, né a livello cervicale, né lombosacrale. Il perito fa infine notare che il paziente si siede a 90° con le gambe tese, fatto che corrisponde ad un Lasègue di 90°; non si nota nessuna asimmetria dei riflessi, nessun deficit neuropsicologico, nessun segno di sofferenza midollare o più centrale. La situazione sembra quindi stabile, da almeno 13 anni, dal punto di vista clinico. Per quanto riguarda l'incapacità di lavoro, la presenza di dolori cronici sopra precisati provoca, come nel passato, un'incapacità totale nel precedente lavoro (meccanico). Il Dott. Bonetti stima che in attività leggere l'interessato è inabile in misura del 50% (mansioni tipo guardiano, venditore, magazziniere ecc.). 12.4 Il Dot. Kristol, medico dell'UAIE, ha corretto il grado d'invalidità espresso dal Dott. Bonetti. Infatti, se come è vero, lo stesso perito neurologo, in più punti della sua perizia insiste sul fatto che la situazione valetudinaria è identica allo stato presente nel 1998 (cfr. perizia pag. 5 punto 5 a due riprese; pag. 6 in inizio), non vi sono ragioni plausibili per portare l'incapacità di lavoro dal 40 al 50% in attività leggere. In questo caso, l'esperto avrebbe affermato che la situazione valetudinaria è leggermente peggiorata rispetto al 1998. Come già rilevato al considerando 7.5, non è infatti ammesso in ambito di revisione valutare in modo differente una situazione rimasta sostanzialmente uguale. 12.5 Per quanto riguarda le critiche mosse dalla parte ricorrente in più sedi (ricorso e replica), queste non si fondano una documentazione medico-oggettiva che smentisca, in modo irrefutabile, quanto esposto dal Dott. Bonetti. In particolare l'insorgente, dopo il referto del Dott. Bonetti, non ha prodotto alcuna approfondita controperizia atta a confutare le tesi esposte dal Dott. Bonetti. Il Dott. Kristol, nel suo rapporto del 3 ottobre 2010 (doc. 38), prende posizione in merito alle obiezioni contenute nel ricorso. Egli osserva che in risposta alle osservazioni e constatazioni del Dott. Waldburger (reumatologo), il Dott. Bonetti ha eseguito un esame neurologico completo e non è giunto alle stesse conclusioni del primo medico. Parimenti, se il Dott. Bonetti non ha eseguito determinati esami (segnatamente un'ergometria su nastro rotante), è rilevante solo che l'esperto neurologico, dopo esame clinico, non ha ritenuto necessarie ulteriori investigazioni scientifiche. Non è infatti compito di una perizia dell'AI indagare in modo assoluto su determinati stati morbosi, quando le risultanze cliniche permettono da sole di pronunciarsi sulla residua capacità di lavoro del paziente. La cartella clinica prodotta dall'insorgente (ricovero dal 25 agosto al 5 settembre 2012 per grave discopatia lombare da L4 ad L5, intervento di stabilizzazione) è stata esaminata dal Dott. Kristol dell'UAIE. Questi ha rilevato sul piano generale (rapporti del 12 dicembre 2012 e 3 ottobre 2012, doc. 38, 40) che l'evento in parola non apporta in sé argomenti a favore di un eventuale peggioramento della situazione valetudinaria dell'interessato. Questi, dopo l'intervento, ha frequentato un ciclo riabilitativo (fino al 20 settembre 2012), dopo di che non vi sono elementi clinici per pensare che la situazione valetudinaria non sia tornata come prima. 12.6 Questo collegio giudicante reputa che l'indagine svolta dal Dott. Bonetti, nonostante le critiche mosse dalla parte ricorrente, rispetta, per l'essenziale, tutti i requisiti necessari perché abbia ad assumere un valore probante. La situazione valetudinaria di A._______, rispetto all'epoca in cui gli venne riconosciuta la mezza rendita AI, non ha subito sostanziali e fondamentali modifiche atte a suffragare un aumento del grado d'invalidità in attività di sostituzione. L'assicurato è ancora in grado di svolgere lavori come quello di operaio nel settore metallurgico leggero, operaio addetto al controllo di macchine di produzione automatica, operaio imballatore o addetto alla spedizione, operaio addetto alla riparazione di piccoli oggetti, aiuto magazziniere, addetto alla ricezione in ditte, guardiano, custode, venditore, bigliettaio, ecc. Il precedente lavoro, svolto a tempo parziale dopo il riconoscimento dell'invalidità, consistente nelle riparazioni non impegnative di automezzi e, sembra, la vendita di automezzi, verosimilmente, non è più esigibile. Le notizie, su quest'ultima occupazione, non sono mai state approfondite.</w:t>
      </w:r>
    </w:p>
    <w:p>
      <w:r>
        <w:rPr>
          <w:b/>
        </w:rPr>
        <w:t>E. 13</w:t>
      </w:r>
    </w:p>
    <w:p>
      <w:r>
        <w:t>Resta da esaminare se si deve procedere a un esame del raffronto dei redditi prima e dopo l'invalidità in applicazione dell'art. 16 LPGA (consid. 9.2). L'Ufficio AI del Cantone di Friborgo aveva già calcolato al 54% la perdita di guadagno subita dall'interessato svolgendo attività sostitutive (doc. 31 inc. I). Ora, secondo la menzionata giurisprudenza (cfr. consid. 7.4) è vero che le rendite d'invalidità sono soggette a revisione anche se lo stato di salute è rimasto invariato, a condizione che le conseguenze sulla capacità di guadagno abbiano subito un cambiamento importante. Questo non significa tuttavia che in occasione di una revisione si debba sempre procedere a un nuovo raffronto dei redditi. Se lo stato di salute è rimasto invariato, occorre dapprima decidere se esista o meno un motivo per adeguare la rendita. Solamente rispondendo affermativamente a questa domanda, si può procedere ad un nuovo calcolo comparativo dei redditi. Adottando la soluzione contraria, ossia procedendo ad un nuovo calcolo innanzi ad una situazione rimasta invariata, si violerebbe lo stesso principio che impone come non si possa, in caso di revisione, giudicare diversamente due situazioni rimaste uguali (sentenza 9C_ 223/2011 del 3 giugno 2011 consid. 3.2 pubblicata in SVR 2011 IV n° 81, vedi anche sentenza del Tribunale federale 9C_766/2009 del 12 marzo 2010 consid. 3.2). Nella fattispecie, facendo difetto un aggravamento del grado d'invalidità, le condizioni previste dall'art. 17 cpv. 1 LPGA per procedere a una revisione del diritto alla rendita d'invalidità non sono adempiute. Non si giustifica pertanto di procedere a un esame del raffronto dei redditi.</w:t>
      </w:r>
    </w:p>
    <w:p>
      <w:r>
        <w:rPr>
          <w:b/>
        </w:rPr>
        <w:t>E. 14.1</w:t>
      </w:r>
    </w:p>
    <w:p>
      <w:r>
        <w:t>In queste circostanze il ricorso è respinto e l'impugnata decisione confermata.</w:t>
      </w:r>
    </w:p>
    <w:p>
      <w:r>
        <w:rPr>
          <w:b/>
        </w:rPr>
        <w:t>E. 14.2</w:t>
      </w:r>
    </w:p>
    <w:p>
      <w:r>
        <w:t>Le spese processuali, ammontanti a 400 franchi, sono poste a carico della ricorrente e sono compensate con l'anticipo già fornito.</w:t>
      </w:r>
    </w:p>
    <w:p>
      <w:r>
        <w:rPr>
          <w:b/>
        </w:rPr>
        <w:t>E. 14.3</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nella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