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C-3582/2009 vom 21. Juni 2011</w:t>
      </w:r>
    </w:p>
    <w:p>
      <w:r>
        <w:t>Bundesverwaltungsgericht, 2011-06-21, DE</w:t>
      </w:r>
    </w:p>
    <w:p>
      <w:r>
        <w:rPr>
          <w:b/>
        </w:rPr>
        <w:t xml:space="preserve">Quelle: </w:t>
      </w:r>
      <w:r>
        <w:t>https://mcp.opencaselaw.ch/entscheid/bvger_C-3582_2009</w:t>
      </w:r>
    </w:p>
    <w:p>
      <w:r>
        <w:t>FR: TAF C-3582/2009 du 21 juin 2011</w:t>
      </w:r>
    </w:p>
    <w:p>
      <w:r>
        <w:t>IT: TAF C-3582/2009 del 21 giugno 2011</w:t>
      </w:r>
    </w:p>
    <w:p>
      <w:pPr>
        <w:pStyle w:val="Heading2"/>
      </w:pPr>
      <w:r>
        <w:t>Regeste</w:t>
      </w:r>
    </w:p>
    <w:p>
      <w:r>
        <w:t>Rentenrevision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Auf die frist- und formgerecht erhobene Beschwerde (vgl. Art. 60 Abs. 1 ATSG und Art. 52 Abs. 1 VwVG) ist daher einzutreten.</w:t>
      </w:r>
    </w:p>
    <w:p>
      <w:r>
        <w:rPr>
          <w:b/>
        </w:rPr>
        <w:t>E. 3</w:t>
      </w:r>
    </w:p>
    <w:p>
      <w:r>
        <w:t>Zunächst sind die für die Beurteilung des Anspruchs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6. Mai 2009)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 2009 vom 3. November 2009 E. 3.1, BGE 132 V 215 E. 3.1.1).</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3.4</w:t>
      </w:r>
    </w:p>
    <w:p>
      <w:r>
        <w:t>Bei einem Invaliditätsgrad von mindestens 40% besteht Anspruch auf eine Viertelsrente, bei mindestens 50% auf eine halbe Rente, bei mindestens 60% auf eine Dreiviertelsrente und bei mindestens 70% auf eine ganze Rente (Art. 28 Abs. 2 IVG [in der seit 1. Januar 2008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Diese Einschränkung gilt jedoch nicht für die Staatsangehörigen eines Mitglied­staates der Europäischen Gemeinschaft und der Schweiz, sofern sie in einem Mitgliedstaat der Europäischen Gemeinschaft Wohnsitz haben (siehe BGE 130 V 253 E. 2.3 und E. 3.1).</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vorbehalten bleibt die Rechtsprechung zur Wiedererwägung und prozessualen Revision (BGE 133 V 108 E. 5.4).</w:t>
      </w:r>
    </w:p>
    <w:p>
      <w:r>
        <w:rPr>
          <w:b/>
        </w:rPr>
        <w:t>E. 3.7</w:t>
      </w:r>
    </w:p>
    <w:p>
      <w:r>
        <w:t>Gemäss Art. 53 Abs. 2 ATSG in Verbindung mit Art. 1 Abs. 1 IVG kann die IV-Stelle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Abs. 1 ATSG nicht erfüllt sind. Wird die zweifellose Unrichtigkeit erst vom Gericht festgestellt, so kann es den auf Art. 17 ATSG gestützten Revisionsentscheid der Verwaltung mit dieser substituierten Begrün­dung schützen (BGE 125 V 368 E. 2; Urteil BGer 9C_11/2008 vom 29. April 2008 E. 4.2). Die Wiedererwägung im Sinne von Art. 53 Abs. 2 ATSG dient der Korrektur einer anfänglich unrichtigen Rechtsanwendung - unter Einschluss unrichtiger Feststellung im Sinne der Würdigung des Sachver­halts (Urteil BGer 9C_215/2007 vom 2. Juli 2007 E. 3.1; vgl. auch BGE 117 V 8 E. 2c; Urteil EVG I 545/02 vom 17. August 2005, publiziert in SVR 2006 IV Nr. 21, E. 1.2). Ein Verwaltungsakt ist zweifellos unrichtig, wenn kein vernünftiger Zweifel an der Unrichtigkeit möglich ist. Es ist nur ein einziger Schluss - derjenige der Unrichtigkeit der Verfügung - möglich. Bei Renten der Invalidenversicherung im Besonderen ist zu beachten, dass die Ermittlung des Invaliditätsgrades verschiedene Ermessenszüge aufweisende Elemente und Schritte umfasst. Dies gilt namentlich bei der Beurteilung der Arbeitsunfähigkeit. Hier bedarf es für die Annahme einer zweifellosen Unrichtigkeit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(Urteil BGer 9C_215/2007 vom 2. Juli 2007 E. 3.1 mit Hinweisen).</w:t>
      </w:r>
    </w:p>
    <w:p>
      <w:r>
        <w:rPr>
          <w:b/>
        </w:rPr>
        <w:t>E. 4</w:t>
      </w:r>
    </w:p>
    <w:p>
      <w:r>
        <w:t>Streitig und im vorliegenden Verfahren zu prüfen ist die revisionsweise Herabsetzung der Invalidenrente.</w:t>
      </w:r>
    </w:p>
    <w:p>
      <w:r>
        <w:rPr>
          <w:b/>
        </w:rPr>
        <w:t>E. 4.1</w:t>
      </w:r>
    </w:p>
    <w:p>
      <w:r>
        <w:t>Dem Beschwerdeführer wurde im Februar 1998 rückwirkend ab 1. November 1995 bei einem Invaliditätsgrad von 61% eine halbe Rente (vgl. Art. 28 Abs. 1 IVG in der bis Ende 2003 gültigen Fassung) zugesprochen, nachdem die Berufsberatung der IV-Stelle eine Eingliederung in die freie Wirtschaft aufgrund seiner psychischen Beeinträchtigung als kaum realisierbar erachtet und die Prüfung der Rentenfrage empfohlen hatte (vgl. IV-act. 46).</w:t>
      </w:r>
    </w:p>
    <w:p>
      <w:r>
        <w:rPr>
          <w:b/>
        </w:rPr>
        <w:t>E. 4.1.1</w:t>
      </w:r>
    </w:p>
    <w:p>
      <w:r>
        <w:t>Die von der zuständigen IV-Stelle ab 1988 zunächst eingeholten medizinischen (psychiatrischen) Berichte bezogen sich auf die vom Beschwerdeführer damals beantragten beruflichen Eingliederungsmassnahmen. Die Fachärzte diagnostizierten insbesondere eine Adoleszentenkrise und Verdacht auf frühkindliches POS (vgl. IV-act. 4 und 11). Dem Rekursentscheid der kantonalen Rekurskommission für die Ausgleichskassen Basel-Stadt (nachfolgend ReKo BS) vom 26. Oktober 1995 (IV-act. 35) lässt sich entnehmen, dass der Beschwerdeführer an einer schweren neurotischen Entwicklungsstörung sowie einer Minimal Brain Disfunktion leide (vgl. auch Bericht der psychiatrischen Klinik H._______ vom 5. April 1994 [IV-act. 20]). Eine Lehre als Schreiner habe er krankheitsbedingt abbrechen müssen. Einen im Februar 1994 gestellten Antrag auf IV-Leistungen für eine erstmalige berufliche Ausbildung (vgl. Art. 16 IVG) zum Homöopathen hatte die IV-Stelle Basel-Stadt mit der Begründung abgewiesen, eine therapeutische Tätigkeit sei aufgrund der medizinischen Befunde nicht sinnvoll (vgl. dazu auch IV-act. 61). Es bestehe keine ausreichende Gewähr für eine erfolgreiche Eingliederung im Sinne des Gesetzes. Der die Beschwerde abweisende Entscheid der ReKo BS vom 26. Oktober 1995 erwuchs unangefochten in Rechtskraft.</w:t>
      </w:r>
    </w:p>
    <w:p>
      <w:r>
        <w:rPr>
          <w:b/>
        </w:rPr>
        <w:t>E. 4.1.2</w:t>
      </w:r>
    </w:p>
    <w:p>
      <w:r>
        <w:t>Im Rahmen der im Jahr 2001 durchgeführten Rentenrevision prüfte die IV-Stelle Zürich - auf entsprechendes Gesuch - den Anspruch auf berufliche Massnahmen erneut. Mit Schreiben vom 12. September 2001 teilte die IV-Stelle Zürich dem Beschwerdeführer mit, dass unter Berücksichtigung seines Gesundheitszustandes zur Zeit keine beruflichen Massnahmen durchführbar seien (IV-act. 57), und bestätigte den Anspruch auf eine halbe IV-Rente bei unverändertem Invaliditätsgrad (IV-act. 58).</w:t>
      </w:r>
    </w:p>
    <w:p>
      <w:r>
        <w:rPr>
          <w:b/>
        </w:rPr>
        <w:t>E. 4.1.3</w:t>
      </w:r>
    </w:p>
    <w:p>
      <w:r>
        <w:t>Obwohl bei der Rentenzusprechung offenbar gewisse Unsicher­heiten hinsichtlich Diagnose bestanden, waren die beurteilenden Ärzte und die Berufsberatung der Ansicht, die Leistungsbeeinträchtigung sei gesundheitlich (psychiatrisch) bedingt (vgl. auch IV-act. 61), was auch von der ReKo BS bestätigt wurde. Bei dieser Aktenlage scheidet eine zweifellose Unrichtigkeit der rentenzusprechenden Verfügung im Sinne von Art. 53 Abs. 2 ATSG aus. Allein die Meinungsäusserung des IV-Arztes, wonach er nicht nachvollziehen könne, weshalb dem Versicherten überhaupt jemals eine Rente zugesprochen worden sei (IV-act. 141), genügt für die Annahme einer zweifellosen Unrichtigkeit jedenfalls nicht.</w:t>
      </w:r>
    </w:p>
    <w:p>
      <w:r>
        <w:rPr>
          <w:b/>
        </w:rPr>
        <w:t>E. 4.1.4</w:t>
      </w:r>
    </w:p>
    <w:p>
      <w:r>
        <w:t>Weiter ist die unterschiedliche Beurteilung eines im Wesentlichen unverändert gebliebenen Sachverhaltes unter revisionsrechtlichen Gesichtspunkten unerheblich (BGE 112 V 371 E. 2b mit Hinweisen; SVR 1996 IV Nr. 70 S. 204 E. 3a). Eine Änderung des Invaliditätsgrades setzt stets auch eine Änderung der tatsächlichen Verhältnisse voraus.</w:t>
      </w:r>
    </w:p>
    <w:p>
      <w:r>
        <w:rPr>
          <w:b/>
        </w:rPr>
        <w:t>E. 4.2</w:t>
      </w:r>
    </w:p>
    <w:p>
      <w:r>
        <w:t>Ob bzw. inwiefern sich der Gesundheitszustand (und dessen Auswirkung auf die Arbeitsfähigkeit) des Beschwerdeführers seit der rentenzusprechenden Verfügung im Jahr 1998 bis zum Erlass der angefochtenen Verfügung im Mai 2009 tatsächlich erheblich verändert hat, lässt sich aufgrund der vorliegenden Akten nicht beurteilen.</w:t>
      </w:r>
    </w:p>
    <w:p>
      <w:r>
        <w:rPr>
          <w:b/>
        </w:rPr>
        <w:t>E. 4.2.1</w:t>
      </w:r>
    </w:p>
    <w:p>
      <w:r>
        <w:t>Der Administrativgutachter Dr. B._______ hat den Beschwerdeführer am 20. August 2007 psychiatrisch untersucht und diagnostizierte - unter Berücksichtigung der Vorakten - eine kombinierte Persönlichkeitsstörung (ICD-10:F61.0), Verdacht auf hyperkinetische Störung (F90) und lange Phase von Arbeitsuntätigkeit (Z56). In seiner Beurteilung hält er u.a. fest, die Diagnose einer hyperkinetischen Störung (oder ADS) lasse nicht auf eine hohe Einschränkung der Arbeitsfähigkeit schliessen. In den vorliegenden Akten werde auf Verhaltensschwierigkeiten hingewiesen, welche als Persönlichkeitsstörung zusammengefasst worden seien. Aufgrund der testpsychologischen Untersuchung könne heute noch eine gewisse Persönlichkeitsstörung diagnostiziert werden. Diese sei relativ breitbasig, der Versicherte zeige Ängste, Rückzugstendenzen und soziale Phobien, sei übersensibel, träumerisch und reduziert belastbar. Bei der Untersuchung selber habe sich ein relativ unauffälliges Bild gezeigt, wenn der Versicherte auch etwas verängstigt gewirkt habe. Die zufriedenstellende Lebensweise in Thailand habe zu einer Stabilisierung der Persönlichkeit geführt. Seit Anfang 2007 könne von einer Verbesserung des Gesundheitszustandes ausgegangen werden; die Einschränkung der Arbeitsfähigkeit betrage heute noch 40%. Mit einer weiteren Verbesserung sei in der nächsten Zeit kaum zu rechnen. Sollte der Versicherte in die Schweiz zurückkehren müssen, würde sich sein Zustand vermutlich verschlechtern. Er müsste dann eine psychiatrische Behandlung durchführen, um sich mit den hiesigen Verhältnissen zurechtzufinden. Umschulungsmassnahmen seien nicht angezeigt; diese würden sich vorliegend negativ auf die hyperkinetische Störung auswirken. Zudem sei der Versicherte schon lange weg vom Arbeitsprozess (IV-act. 82).</w:t>
      </w:r>
    </w:p>
    <w:p>
      <w:r>
        <w:rPr>
          <w:b/>
        </w:rPr>
        <w:t>E. 4.2.2</w:t>
      </w:r>
    </w:p>
    <w:p>
      <w:r>
        <w:t>Nachdem der Beschwerdeführer (aufgrund des Vorbescheides) seinen Wohnsitz im April/Mai 2008 wieder in die Schweiz verlegt hatte, hätte die Vorinstanz angesichts der Prognose des Gutachters erneut eine psychiatrische Beurteilung einholen müssen. Die Einschätzung der Arbeitsfähigkeit beschränkte sich auf die für den Beschwerdeführer günstigen Lebensverhältnisse in Thailand und der Gutachter wies ausdrücklich darauf hin, dass sich der Zustand in der Schweiz vermutlich verschlechtern würde. Ob diese Vermutung eingetreten ist und wie sich eine allfällige Verschlechterung auswirkte, hat die IV-Stelle nicht geprüft.</w:t>
      </w:r>
    </w:p>
    <w:p>
      <w:r>
        <w:rPr>
          <w:b/>
        </w:rPr>
        <w:t>E. 4.2.3</w:t>
      </w:r>
    </w:p>
    <w:p>
      <w:r>
        <w:t>Der im Beschwerdeverfahren eingereichte Bericht des F._______ (von I._______, Facharzt Psychiatrie und Psychotherapie, und Dr. phil. K._______) über die tagesklinische Behandlung vom 3. März bis 28. April 2009 erfüllt die Anforderungen an eine beweiskräftige Expertise nicht. Insbesondere ist angesichts der erhobenen Befunde und der gestellten Diagnosen (namentlich Alkoholabhängigkeit, einfache Aktivitäts- und Aufmerksamkeitsstörung, Dyscalculie und Legasthenie) nicht nachvollziehbar, weshalb eine Arbeitsunfähigkeit von 100% attestiert wird, wobei bei der Beurteilung der Arbeitsfähigkeit auch eine (bei den Diagnosen nicht genannte) Depression angeführt wird, welche die Leistungsfähigkeit beeinträchtigen soll. Der Einrichtung standen offenbar keine Vorakten zur Verfügung, weshalb die anamnestischen Angaben allein auf den Angaben des Patienten beruhen und die gegenüber früheren psychiatrischen Beurteilungen - sowohl hinsichtlich Diagnose als auch bei der Beurteilung der Arbeitsfähigkeit - abweichende Meinung der Experten nicht begründet wird (vgl. act. 1 B 3). Die mit der Replik eingereichte ergänzende Stellungnahme der beiden Experten vom 12. August 2009 (act. 11 B 1) vermag an der mangelnden Beweiskraft nichts zu ändern. Darin wird - abweichend zum Gutachten von Dr. B._______ - auch behauptet, der Beschwerdeführer sei bereits in Thailand mit der Alltagsbewältigung überfordert gewesen und habe zu viel Alkohol getrunken.</w:t>
      </w:r>
    </w:p>
    <w:p>
      <w:r>
        <w:rPr>
          <w:b/>
        </w:rPr>
        <w:t>E. 4.2.4</w:t>
      </w:r>
    </w:p>
    <w:p>
      <w:r>
        <w:t>Aufgrund der medizinischen Akten erscheint eine Verbesserung des Gesundheitszustandes zwar möglich, aber nicht überwiegend wahrscheinlich (vgl. SVR 2009 IV Nr. 57 [Urteil BGer 9C_149/2009] E. 3.2.2, Urteil BGer 8C_989/2010 vom 16. Februar 2011 E. 2). Die IVSTA wird deshalb ergänzende Abklärungen vorzunehmen haben. Dabei wird sie auch die Rechtsprechung zu berücksichtigen haben, wonach Alkoholismus (wie andere Suchtproblematiken) nur aber immerhin ausnahmsweise als invalidisierend anzuerkennen ist (vgl. Urteil EVG vom 8. August 2006 I 169/06 E. 2.2 mit Hinweisen).</w:t>
      </w:r>
    </w:p>
    <w:p>
      <w:r>
        <w:rPr>
          <w:b/>
        </w:rPr>
        <w:t>E. 4.3</w:t>
      </w:r>
    </w:p>
    <w:p>
      <w:r>
        <w:t>Sollten die weiteren Abklärungen ergeben, dass sich die Arbeitsfähigkeit des Beschwerdeführers erheblich verbessert hat, wird weiter die Eingliederungsfrage zu prüfen sein.</w:t>
      </w:r>
    </w:p>
    <w:p>
      <w:r>
        <w:rPr>
          <w:b/>
        </w:rPr>
        <w:t>E. 4.3.1</w:t>
      </w:r>
    </w:p>
    <w:p>
      <w:r>
        <w:t>Nach der Rechtsprechung des Bundesgerichts ist zwar eine medizinisch attestierte Verbesserung grundsätzlich auf dem Weg der Selbsteingliederung verwertbar.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Der Ausnahmetatbestand der Notwendigkeit (vorgängiger) befähigender beruflicher Massnahmen trotz wiedergewonnener Arbeitsfähigkeit ist als erfüllt zu betrachten, wenn die revisions- oder wiedererwägungsweise Herabsetzung oder Aufhebung der Invalidenrente eine versicherte Person betrifft, die das 55. Altersjahr zurückgelegt oder die Rente seit mehr als 15 Jahren bezogen hat (Urteil BGer 9C_228/2010 vom 26. April 2011 E. 3.1.1 und 3.3 [Präzisierung der Rechtsprechung]).</w:t>
      </w:r>
    </w:p>
    <w:p>
      <w:r>
        <w:rPr>
          <w:b/>
        </w:rPr>
        <w:t>E. 4.3.2</w:t>
      </w:r>
    </w:p>
    <w:p>
      <w:r>
        <w:t>Der Beschwerdeführer bezieht seit November 1995 eine IV-Rente - zunächst eine halbe Rente, seit Inkrafttreten der 4. IV-Revision am 1. Januar 2004 (bei unverändertem Invaliditätsgrad von 61%) eine Dreiviertelsrente. Mit der angefochtenen Verfügung wurde die Rente mit Wirkung ab Juli 2009 auf eine Viertelsrente herabgesetzt, womit die 15-jährige Bezugsdauer knapp nicht erreicht würde. Die IVSTA hat indessen einer allfälligen Beschwerde die aufschiebende Wirkung nicht entzogen, weshalb die Dreiviertelsrente weiterhin ausgerichtet wird und er somit seit mehr als 15 Jahren eine Rente bezieht. Zu berücksichtigen ist zudem, dass der Beschwerdeführer (krankheitsbedingt) keine Berufsausbildung abgeschlossen hat und nie effektiv in der Arbeitswelt integriert war. Die IV-Stelle wird deshalb auch zu prüfen haben, ob Integrationsmassnahmen zur Vorbereitung auf die berufliche Eingliederung gemäss Art. 14a IVG erforderlich und geeignet sind, die Voraussetzungen für die Durchführung von Massnahmen beruflicher Art zu schaffen. Der Beschwerdeführer dürfte zur Hauptzielgruppe gehören, welche der Gesetzgeber bei der Einführung dieser neuen Eingliederungsmassnahme (5. IV-Revision, in Kraft seit 1. Januar 2008) vor Augen hatte (vgl. auch Urteil BGer 9C_99/2010 vom 6. Dezember 2010 E. 3.2.3; siehe auch BGE 137 V 1).</w:t>
      </w:r>
    </w:p>
    <w:p>
      <w:r>
        <w:rPr>
          <w:b/>
        </w:rPr>
        <w:t>E. 4.4</w:t>
      </w:r>
    </w:p>
    <w:p>
      <w:r>
        <w:t>Zusammenfassend ergibt sich, dass die angefochtene Verfügung in medizinischer und erwerblicher Hinsicht auf einem unzureichend festgestellten Sachverhalt beruht und daher aufzuheben ist. In diesem Sinne ist die Beschwerde gutzuheissen.</w:t>
      </w:r>
    </w:p>
    <w:p>
      <w:r>
        <w:rPr>
          <w:b/>
        </w:rPr>
        <w:t>E. 5</w:t>
      </w:r>
    </w:p>
    <w:p>
      <w:r>
        <w:t>Zu befinden bleibt noch über die Verfahrenskosten und eine allfällige Parteientschädigung. Dabei ist zu berücksichtigen, dass die Rückweisung der Sache an die Vorinstanz zu erneuter Abklärung (mit noch offenem Ausgang) praxisgemäss (BGE 132 V 215 E. 6.1) für die Frage der Auferlegung der Gerichtskosten wie auch der Parteientschädigung als volles Obsiegen gilt, unabhängig davon, ob sie überhaupt beantragt, oder ob das entsprechende Begehren im Haupt- oder im Eventualantrag gestellt wird (Urteil BGer 1C_397/2009 vom 26. April 2010 E. 6, Urteil BGer 8C_78/2009 vom 31. August 2010 E. 12.1).</w:t>
      </w:r>
    </w:p>
    <w:p>
      <w:r>
        <w:rPr>
          <w:b/>
        </w:rPr>
        <w:t>E. 5.1</w:t>
      </w:r>
    </w:p>
    <w:p>
      <w:r>
        <w:t>Die Verfahrenskosten hat in der Regel die unterliegende Partei zu tragen (Art. 63 Abs. 1 VwVG). Der unterliegenden Vorinstanz sind allerdings keine Verfahrenskosten aufzuerlegen (Art. 63 Abs. 2 VwVG).</w:t>
      </w:r>
    </w:p>
    <w:p>
      <w:r>
        <w:rPr>
          <w:b/>
        </w:rPr>
        <w:t>E. 5.2</w:t>
      </w:r>
    </w:p>
    <w:p>
      <w:r>
        <w:t>Der Beschwerdeführer hat gemäss Art. 64 Abs. 1 VwVG i.V.m. Art. 7 ff. des Reglements vom 21. Februar 2008 über die Kosten und Entschädigungen vor dem Bundesverwaltungsgericht (VGKE, SR 173.320.2) Anspruch auf eine Parteientschädigung zu Lasten der Vorinstanz. Unter Berücksichtigung des gebotenen und geltend gemachten Aufwandes (vgl. Kostennote vom 1. Juni 2011 [act. 19]) erscheint eine Entschädigung von Fr. 1'500.- (inkl. Auslagen, ohne Mehrwertsteuer, vgl. Art. 1 Abs. 2 i.V.m. Art. 8 Abs. 1 und Art. 18 Abs. 1 des Mehrwertsteuergesetzes vom 12. Juni 2009 [MWSTG, SR 641.20])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