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C-3577/2018 vom 4. Februar 2020</w:t>
      </w:r>
    </w:p>
    <w:p>
      <w:r>
        <w:t>Bundesverwaltungsgericht, 2020-02-04, DE</w:t>
      </w:r>
    </w:p>
    <w:p>
      <w:r>
        <w:rPr>
          <w:b/>
        </w:rPr>
        <w:t xml:space="preserve">Quelle: </w:t>
      </w:r>
      <w:r>
        <w:t>https://mcp.opencaselaw.ch/entscheid/bvger_C-3577_2018</w:t>
      </w:r>
    </w:p>
    <w:p>
      <w:r>
        <w:t>FR: TAF C-3577/2018 du 4 février 2020</w:t>
      </w:r>
    </w:p>
    <w:p>
      <w:r>
        <w:t>IT: TAF C-3577/2018 del 4 febbraio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von der angefochtenen Verfügung vom 22. Mai 2018 (act. 50) berührt und kann sich auf ein schutzwürdiges Interesse an deren Aufhebung oder Änderung berufen (Art. 59 ATSG; Art. 48 Abs. 1 VwVG). Nachdem auch der Kostenvorschuss fristgerecht geleistet worden ist (B-act. 5), ist auf die frist- und formgerecht eingereichte Beschwerde (Art. 60 ATSG; Art. 50 Abs. 1 und Art. 52 Abs. 1 in Verbindung mit Art. 63 Abs. 4 VwVG) einzutreten.</w:t>
      </w:r>
    </w:p>
    <w:p>
      <w:r>
        <w:rPr>
          <w:b/>
        </w:rPr>
        <w:t>E. 1.4</w:t>
      </w:r>
    </w:p>
    <w:p>
      <w:r>
        <w:t>Anfechtungsobjekt und damit Begrenzung des Streitgegenstandes des vorliegenden Beschwerdeverfahrens (vgl. BGE 131 V 164 E. 2.1) bildet die Verfügung der Vorinstanz vom 22. Mai 2018 (act. 50). Streitig und zu prüfen ist die Rechtmässigkeit dieser Verfügung resp. mit Blick auf das materielle Hauptbegehren der Beschwerdeführerin insbesondere, ob diese Anspruch auf eine IV-Rente hat (vgl. ergänzend E. 4.2 hiernach).</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Die Beschwerdeführerin verfügt über die österreichische Staatsbürgerschaft und wohnt in Österreich,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(22. Mai 2018)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22. Mai 2018 (act. 50)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gemäss Art. 36 Abs. 1 IVG in der seit 1. Januar 2008 geltenden und vorliegend anwendbaren Fassung. Diese Voraussetzungen müssen kumulativ erfüllt sein; fehlt eine, so entsteht kein Rentenanspruch, selbst wenn die andere erfüllt ist. Für die Erfüllung der dreijährigen Mindestbeitragsdauer werden Beitragszeiten mitberücksichtigt, die in einem EU/EFTA-Staat zurückgelegt worden sind. Die Beitragszeit in der Schweiz muss aber mindestens ein Jahr betragen (BGE 131 V 390 E. 5 und 6).</w:t>
      </w:r>
    </w:p>
    <w:p>
      <w:r>
        <w:rPr>
          <w:b/>
        </w:rPr>
        <w:t>E. 2.4.2</w:t>
      </w:r>
    </w:p>
    <w:p>
      <w:r>
        <w:t>Gemäss Art. 36 Abs. 2 IVG sind für die Berechnung der ordentlichen Invalidenrenten die Bestimmungen des AHVG (SR 831.10) sinngemäss anwendbar. Eine IV-spezifische Besonderheit besteht darin, dass die Mindestbeitragszeit bei Eintritt der Invalidität (Eintritt des Versicherungsfalls) geleistet sein muss (vgl. Urteil des BGer 8C_721/2013 vom 4. März 2014 E. 4.1). Der Zeitpunkt des Eintritts der Invalidität beurteilt sich nach Art. 28 Abs. 1 IVG. Die Invalidität beziehungsweise der Versicherungsfall gilt erst mit der Entstehung des Rentenanspruches als eingetreten, also frühestens mit Ablauf des Wartejahres gemäss Art. 28 Abs. 1 Bst. b IVG (vgl. BGE 138 V 475 E. 3). Bei der Beschwerdeführerin bestand die 100%ige Arbeitsunfähigkeit resp. die 50%ige Erwerbsunfähigkeit ab Juni 2017 (vgl. E. 5.3 und 5.4 hiernach). Unter Berücksichtigung von Art. 28 Abs. 1 Bst. b IVG kann der Versicherungsfall damit frühestens im Juni 2018 eingetreten sein.</w:t>
      </w:r>
    </w:p>
    <w:p>
      <w:r>
        <w:rPr>
          <w:b/>
        </w:rPr>
        <w:t>E. 2.4.3</w:t>
      </w:r>
    </w:p>
    <w:p>
      <w:r>
        <w:t>Aus dem Auszug aus dem individuellen Konto vom 22. September 2017 geht hervor, dass die gesamte Versicherungszeit der Beschwerdeführerin in der Schweiz 29 Monate beträgt (act. 9). Die Beschwerdeführerin hat somit die dreijährige Mindestbeitragsdauer mittels schweizerischen Versicherungszeiten nicht erfüllt. Unter diesen Umständen müssen mit Blick auf die österreichische Staatsbürgerschaft der Beschwerdeführerin für die Erfüllung der dreijährigen Mindestbeitragsdauer Beitragszeiten mitberücksichtigt werden, die sie in einem EU/EFTA-Staat zurückgelegt hatte (vgl. Rz. 3004.1 bis 3004.3 S. 47 f. der vorliegend anwendbaren Wegleitung über die Renten [RWL] in der Eidgenössischen Alters-, Hinterlassenen- und Invalidenversicherung [Version 12, Gültig ab 01.01.2003; Stand: 01.01.2018]; vgl. auch Rz. 3003 ff. S. 25 f. des vom 15. Dezember 2017 bis 17. Dezember 2019 gültig gewesenen Kreisschreibens über das Verfahren zur Leistungsfestsetzung in der AHV/IV/EL [KSBIL; Version 10]), wobei - wie vorstehend bereits dargelegt - die Beitragszeit in der Schweiz aber mindestens ein Jahr betragen muss (BGE 131 V 390 E. 5 und 6). Da die Beschwerdeführerin in der Schweiz eine Beitragszeit von insgesamt 29 Monaten aufweist und sie gemäss Bescheinigung des Versicherungsverlaufs in Österreich über eine Gesamtversicherungszeit für die Rentenberechnung von 303 Monaten verfügt (act. 2 S. 3), sind unter Berücksichtigung dieser Versicherungszeiten die Voraussetzungen von Art. 36 Abs. 1 IVG in der ab 1. Januar 2008 geltenden Fassung vor Eintritt des Versicherungsfalls erfüllt.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2.7</w:t>
      </w:r>
    </w:p>
    <w:p>
      <w:r>
        <w:t>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w:t>
      </w:r>
    </w:p>
    <w:p>
      <w:r>
        <w:rPr>
          <w:b/>
        </w:rPr>
        <w:t>E. 2.9</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Gemäss dem Schreiben der Pensionsversicherungsanstalt der Landesstelle E._______ vom 11. Mai 2018 (act. 58) liegt bei der Beschwerdeführerin aufgrund des vor Gericht am 18. April 2018 geschlossenen Vergleichs eine vorübergehende Invalidität ab dem 1. Juli 2017 vor, weshalb für die Dauer dieser Invalidität ab diesem Datum Anspruch auf Rehabilitationsgeld aus der österreichischen Krankenversicherung besteht. Diesbezüglich ist vorab festzuhalten, dass die Beschwerdeführerin daraus für das vorliegende Verfahren nichts zu ihren Gunsten ableiten kann, denn ihr allfälliger schweizerischer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4</w:t>
      </w:r>
    </w:p>
    <w:p>
      <w:r>
        <w:t>Weiter ergibt sich hinsichtlich des Status der Beschwerdeführerin was folgt:</w:t>
      </w:r>
    </w:p>
    <w:p>
      <w:r>
        <w:rPr>
          <w:b/>
        </w:rPr>
        <w:t>E. 4.1</w:t>
      </w:r>
    </w:p>
    <w:p>
      <w:r>
        <w:t>Sowohl im Rahmen einer erstmaligen Prüfung des Rentenanspruchs als auch anlässlich einer Rentenrevision stellt sich unter dem Gesichtspunkt von Art. 8 ATSG die Frage nach der anwendbaren Invaliditätsbemessungsmethode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 Entscheidend ist nicht, welches Ausmass der Erwerbstätigkeit der versicherten Person im Gesundheitsfall zugemutet werden könnte, sondern in welchem Pensum sie hypothetisch erwerbstätig wäre, wobei sich die Frage nach der anwendbaren Methode praxisgemäss nach den Verhältnissen beurteilt, wie sie sich bis zum Erlass der Verwaltungsverfügung entwickelt haben. Bei einer im Haushalt tätigen versicherten Person im Besonderen entscheidet sich die Frage, ob sie als ganztägig oder zeitweilig Erwerbstätige zu betrachten ist, nicht danach, ob sie vor ihrer Heirat erwerbstätig war oder nicht. Vielmehr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 würdigen (BGE 144 I 28 E. 2.3, 117 V 194 E. 3b). Bei Verheirateten ist überdies die eherechtliche Aufgaben- und Rollenverteilung im Rahmen der ehelichen Gemeinschaft zu beachten. Dabei ist insbesondere zu berücksichtigen, dass das Eherecht die Gleichberechtigung der Ehegatten verwirklicht und auf jede gesetzlich bestimmte Aufgabenteilung verzichtet hat. Es ist ausdrücklich den Ehegatten überlassen, sich über die Rollenverteilung sowie über Art und Umfang ihrer Beiträge an den Unterhalt der Familie zu einigen (Art. 163 Abs. 2 ZGB) und sich über die für die Bestreitung ihrer eigenen und der Bedürfnisse ihrer Kinder zweckmässige und notwendige Aufgabenteilung zu verständigen. Mit dieser Freiheit der Ehegatten in der Ausgestaltung ihrer Partnerschaft ist es nicht zu vereinbaren, einer traditionellen Rollenverteilung, die der Frau die Besorgung des Haushaltes zuweist, im Rahmen der Invaliditätsbemessung den Vorrang einzuräumen und die beruflich-erwerblichen Interessen der Ehefrau geringer einzustufen als diejenigen des Ehemannes (BGE 117 V 194 E. 4; AHI 1997 S. 289 E. 2b; SVR 1994 IV Nr. 17 E. 4a S. 40).</w:t>
      </w:r>
    </w:p>
    <w:p>
      <w:r>
        <w:rPr>
          <w:b/>
        </w:rPr>
        <w:t>E. 4.2</w:t>
      </w:r>
    </w:p>
    <w:p>
      <w:r>
        <w:t>Mit Blick auf das vernehmlassungsweise von der Vorinstanz gestellte Rechtsbegehren sowie die entsprechende Begründung und den duplican-do gestellten Eventualantrag der Beschwerdeführerin liegt hinsichtlich des weiteren Abklärungsbedarfs im Zusammenhang mit der erwerblichen Statusfrage ein gemeinsamer Antrag der Parteien vor. Diesem ist aufgrund der gesamten Rechts- und Sachlage ohne weiteres zu entsprechen, zumal die Beschwerdeführerin im Fragebogen für die Versicherte vom 7. November 2017 (act. 12) glaubhaft angegeben hatte, das Arbeitspensum aus gesundheitlichen Gründen per 1. Januar 2017 reduziert zu haben (S. 4 Ziff. 6 Bst. a und b); der Dienstaustritt sei ebenfalls zufolge der Gesundheit erfolgt (S. 4 Ziff. 7 Bst. a und b). Weiter erwähnte sie, ohne Gesundheitsbeeinträchtigung als Kellnerin zu 100 % erwerbstätig zu sein (S. 4 Ziff. 10 Bst. b, c und e). Schliesslich geht auch aus dem Fragebogen für den Arbeitgeber vom 11. November 2017 hervor, dass die Beschwerdeführerin ihre letzte, langjährige Arbeitsstelle aus gesundheitlichen Gründen hatte aufgeben müssen (act. 10 S. 1 Ziff. 1 und 2). Insofern liegen bereits im Zeitpunkt des vorliegenden Urteils gewichtige Hinweise für eine nach der allgemeinen Methode des Einkommensvergleichs vorzunehmende Bemessung der Invalidität vor.</w:t>
      </w:r>
    </w:p>
    <w:p>
      <w:r>
        <w:rPr>
          <w:b/>
        </w:rPr>
        <w:t>E. 5</w:t>
      </w:r>
    </w:p>
    <w:p>
      <w:r>
        <w:t>Im Zusammenhang mit der vorliegend angefochtenen Verfügung vom 22. Mai 2018 (act. 50) stützte sich die Vorinstanz betreffend den Gesundheitszustand der Beschwerdeführerin insbesondere auf die Stellungnahmen von Dr. med. B._______, Fachärztin für Innere Medizin, vom RAD vom 1. Februar 2017 (act. 28), 22. Februar 2018 (act. 30) und 20. April 2018 (act. 48). Diese sowie weitere medizinischen Berichte sind nachfolgend zusammengefasst wiederzugeben und einer Würdigung zu unterziehen. Anhand dieser medizinischen Akten ist zu prüfen, ob die Beschwerdeführerin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2.7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Anmeldung vom 29. Juni 2017 (act. 1) könnte der Beschwerdeführerin demnach frühestens ab Dezember 2017 unter der Bedingung, dass die materiellen Anspruchsvoraussetzungen von Art. 28 Abs. 1 Bst. a bis c IVG erfüllt sind (vgl. E. 2.7 hiervor), eine IV-Rente ausgerichtet werden.</w:t>
      </w:r>
    </w:p>
    <w:p>
      <w:r>
        <w:rPr>
          <w:b/>
        </w:rPr>
        <w:t>E. 5.1.1</w:t>
      </w:r>
    </w:p>
    <w:p>
      <w:r>
        <w:t>In ihrer Stellungnahme vom 1. Februar 2017 listete Dr. med. B._______ zahlreiche ärztliche Dokumente aus Österreich auf und diagnostizierte gestützt auf diese eine Urtikariavaskulitis (ICD-10: M31.8). Als Nebendiagnosen erwähnte sie Zustände nach einer peripheren Pulmonalembolie 12/13 (Faktor V Leiden Mutation, Faktor V Leiden Mutation) und einer medikamenteninduzierten Hepatitis (ICD-10: K71.6). Sie erachtete die Beschwerdeführerin weder in der angestammten Arbeit noch in einer leidensadaptierten Verweisungstätigkeit noch im Haushalt als arbeitsunfähig und führte zusammengefasst aus, in der gutachterlichen Untersuchung vom 30. August 2017, welche leider nicht vollständig, sondern nur in der Beschreibung des Zumutbarkeitsprofils tradiert sei, werde eine leichte bis mittelschwere Tätigkeit als möglich gesehen. Angesichts der von der Versicherten mitgegebenen Bilddokumentation der Hautveränderungen sollte auf irritative Stoffe verzichtet werden. Ein Publikumsverkehr sei je nach Tätigkeit möglich. Wegen der Raynaudsymptomatik sollte sie keiner Kälte ausgesetzt sein. Aus den intermittierenden Gelenksbeschwerden gehe keine weitere Einschränkung hervor. Die angestammte Tätigkeit sei als angepasst zu werten, wenn die Einschränkungen berücksichtigt seien.</w:t>
      </w:r>
    </w:p>
    <w:p>
      <w:r>
        <w:rPr>
          <w:b/>
        </w:rPr>
        <w:t>E. 5.1.2</w:t>
      </w:r>
    </w:p>
    <w:p>
      <w:r>
        <w:t>In der Einschätzung der Invalidität von versicherten Personen im Haushalt, welche einer weiteren Stellungnahme von Dr. med. B._______ vom 22. Februar 2018 beigelegt war, attestierte sie für die Tätigkeiten im Haushalt (Haushaltführung, Ernährung, Wohnungspflege, Einkauf, Wäsche und Kleiderpflege, Betreuung von Kindern, Verschiedenes) jeweils keine Behinderungen resp. keinen Invaliditätsgrad (act. 30 S. 4).</w:t>
      </w:r>
    </w:p>
    <w:p>
      <w:r>
        <w:rPr>
          <w:b/>
        </w:rPr>
        <w:t>E. 5.1.3</w:t>
      </w:r>
    </w:p>
    <w:p>
      <w:r>
        <w:t>In Würdigung weiterer ärztlicher Dokumente aus Österreich (act. 34 bis 46) erweiterte Dr. med. B._______ in ihrem Bericht vom 20. April 2018 die Hauptdiagnosen und erwähnte neu Steroide (Methotrexat ab November 2016, Quensyl ab Juli 2017) sowie eine medikamenteninduzierte Hepatitis unter dem Wirkstoff Dapson. Weiter führte sie insbesondere aus, die vorgelegte Verlaufsakte der Dermatologie zeige ein Auf und Ab der Beschwerden. Diverse, bei vaskulitischer Urtikaria einsetzbare Substanzen würden angewendet, wodurch auch eine Verbesserung erzielt werde. Dass eine völlige Symptomfreiheit erreicht werde, könne nicht zwingend erwartet werden. Eine Veränderung der bisherigen Einschätzung dränge sich nicht auf. Eine langdauernde Arbeitsunfähigkeit liege nicht vor.</w:t>
      </w:r>
    </w:p>
    <w:p>
      <w:r>
        <w:rPr>
          <w:b/>
        </w:rPr>
        <w:t>E. 5.2</w:t>
      </w:r>
    </w:p>
    <w:p>
      <w:r>
        <w:t>Nach Verfügungserlass vom 22. Mai 2018 erhielt die Vorinstanz Kenntnis von weiteren medizinischen Gutachten von Dr. C._______, Fachärztin für Innere Medizin, vom 30. August 2017 (act. 59) und von Dr. D._______, Facharzt für Dermatologie und Venerologie, Dermatochirurgie, vom 25. Januar 2018 (act. 60). Diese beiden Expertisen sowie die dazu von Dr. med. B._______ abgegebene Stellungnahme vom 18. September 2018 (B-act. 11) sind im vorliegenden Fall ebenfalls zu berücksichtigen (zu den Voraussetzungen der Ausdehnung des Anfechtungs- resp. Streitgegenstands vgl. BGE 130 V 501 E. 1.2, 122 V 3 E. 2a; BGE 130 V 138 E. 2.1 mit Hinweisen).</w:t>
      </w:r>
    </w:p>
    <w:p>
      <w:r>
        <w:rPr>
          <w:b/>
        </w:rPr>
        <w:t>E. 5.2.1</w:t>
      </w:r>
    </w:p>
    <w:p>
      <w:r>
        <w:t>Dr. C._______ diagnostizierte in ihrer Expertise zur Hauptsache eine Urtikariavaskulitis (ICD-10: L50.9; Dauertherapie mit Kortison und Quensyl, Zustand nach Ebetrexat-Therapie, Dapson-Therapie, kein Hinweis auf systemische Autoimmunerkrankung). Als Nebendiagnosen erwähnte sie Zustände nach einer peripheren Pulmonalembolie links im Dezember 2013 sowie nach medikamenteninduzierter Hepatitis 2016 unter Dapson sowie eine Adipositas. Schliesslich berichtete sie von einer Anpassungsstörung als weitere Diagnose und hielt dafür, dass die Versicherte internistischerseits einsetzbar sei für leichte bis mittelschwere körperliche Arbeiten.</w:t>
      </w:r>
    </w:p>
    <w:p>
      <w:r>
        <w:rPr>
          <w:b/>
        </w:rPr>
        <w:t>E. 5.2.2</w:t>
      </w:r>
    </w:p>
    <w:p>
      <w:r>
        <w:t>Dr. D._______ stellte aus gutachterlicher, hautfachärztlicher Sicht ebenfalls die Diagnosen einer chronischen Urtikariavaskulitis sowie einer Faktor-V-Leiden-Mutation. Ebenfalls erwähnte er den Zustand nach der Pulmonalembolie im Jahr 2013 und führte weiter aus, im Rahmen umfassender dermatologischer und internistischer Untersuchungen hätten bisher eine zugrundeliegende Erkrankung bzw. auslösende Mechanismen nicht nachgewiesen werden können. Grundsätzlich sei eine Erkrankung aus dem rheumatischen Formenkreis denkbar. Die Erkrankung könne vorerst nicht kausal behandelt werden. Der durch die Grunderkrankung aussergewöhnlich reduzierte Allgemeinzustand lasse aus dermatologischer Sicht in absehbarer Zukunft mit hoher Wahrscheinlichkeit regelmässig wiederkehrende Krankenstandzeiten im Ausmass von mehr als 7 Wochen pro Jahr erwarten. Der gegenwärtige Zustand bestehe vergleichsweise mindestens seit 2015, jedenfalls aber seit der Antragsstellung. Eine kalkülsrelevante Verbesserung des Leistungskalküls bzw. eine Reduzierung der Krankenstandsprognose sei in absehbarer Zukunft mit hoher Wahrscheinlichkeit nicht zu erwarten. Die Begutachtung durch einen Sachverständigen aus einem anderen medizinischen Fachgebiet sei deshalb nicht zwingend erforderlich, weil die Erkrankung letztlich in Überschneidung auch eine internistische sei und sich aktuell mit hoher Wahrscheinlichkeit auch durch eine zusätzliche internistische Begutachtung keine Änderung der in absehbarer Zukunft zu erwartenden Krankenstandsprognose ergeben werde. Die Versicherte könne mit Rücksicht auf die bestehenden Gesundheitsstörungen unter den üblichen Bedingungen eines Arbeitsverhältnisses Arbeiten verrichten. Aus der Grunderkrankung und der dazu notwendigen immunsuppressiven Therapie resultiere eine wesentliche allgemeine Reduktion der Belastbarkeit, wodurch Einschränkungen schon bei den üblichen Verrichtungen des Alltagslebens unvermeidlich seien. Es bestünden keine Einschränkungen der Tages- und Wochenarbeitszeit. Zusätzliche Arbeitspausen seien nicht notwendig.</w:t>
      </w:r>
    </w:p>
    <w:p>
      <w:r>
        <w:rPr>
          <w:b/>
        </w:rPr>
        <w:t>E. 5.2.3</w:t>
      </w:r>
    </w:p>
    <w:p>
      <w:r>
        <w:t>In Kenntnis der vorstehend zusammengefasst wiedergegebenen Expertisen führte Dr. med. B._______ am 18. September 2018 ergänzend aus, zusammenfassend habe die Versicherte seit Jahren Symptome der jetzt verstärkten Urtikariavaskulitis. Sie selber sehe die Zunahme der Beschwerden ab 2015. Es werde mit verschiedenen Immunsuppressiva behandelt, wobei Cortison in einer erhöhten Dosierung nötig sei, um die Schübe zu beherrschen, und Ebetrexat, um die Gelenkschmerzen zu kontrollieren. Die Beschwerden seien am Tag flukturierend, bis Mittag sei es auch in der warmen Jahreszeit oft relativ gut. Damit sollte eine angepasste 50%ige Tätigkeit möglich sein. Falls tatsächlich eine Optimierung der Behandlung möglich werde, könnte diese vielleicht in Zukunft sogar gesteigert werden. Den von den Dres. D._______ und C._______ genannten funktionellen Einschränkungen könne gefolgt werden.</w:t>
      </w:r>
    </w:p>
    <w:p>
      <w:r>
        <w:rPr>
          <w:b/>
        </w:rPr>
        <w:t>E. 5.3</w:t>
      </w:r>
    </w:p>
    <w:p>
      <w:r>
        <w:t>Wie bereits dargelegt wurde (vgl. E. 2.9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med. B._______ kann volle Beweiskraft zukommen, wenn die übrigen, von der bundesgerichtlichen Rechtsprechung herausgearbeiteten Kriterien erfüllt sind. Daran besteht im vorliegenden Fall grundsätzlich und mehrheitlich kein Zweifel, obwohl retrospektive Beurteilungen der Arbeits(un)fähigkeit schwierig sind und deshalb entsprechende Begutachtungen erhöhten Ansprüchen genügen müssen (vgl. Urteil des BVGer C-8902/2010 vom 14. März 2013 E. 5.2.1 mit Hinweisen). Dr. med. B._______ standen Informationsquellen insbesondere in Form der fachärztlichen Gutachten von Dr. C._______, Fachärztin für Innere Medizin, vom 30. August 2017 (act. 59) und von Dr. D._______, Facharzt für Dermatologie und Venerologie, Dermatochirurgie, vom 25. Januar 2018 (act. 60) sowie diverse weitere Arztberichte und Anamnesen zur Verfügung. Ihre Stellungnahmen berücksichtigten einerseits die Leiden der Beschwerdeführerin und wurden in Kenntnis der Vorakten abgegeben, andererseits sind die Beurteilungen der medizinischen Situation in somatischer Hinsicht und die entsprechenden Schlussfolgerungen grösstenteils nachvollziehbar begründet. Mit Blick auf die Anmeldung der Beschwerdeführerin im Juni 2017 sowie die Ausführungen von Dr. D._______, wonach der gegenwärtige Zustand jedenfalls seit der Antragsstellung Bestand habe, ist entgegen der Auffassung von Dr. med. B._______ jedoch davon auszugehen, dass die 100%ige Arbeitsunfähigkeit resp. die 50%ige Erwerbsunfähigkeit nicht erst ab Juli 2017, sondern bereits einen Monat früher - somit ab Juni 2017 - bestanden hatte.</w:t>
      </w:r>
    </w:p>
    <w:p>
      <w:r>
        <w:rPr>
          <w:b/>
        </w:rPr>
        <w:t>E. 5.3.1</w:t>
      </w:r>
    </w:p>
    <w:p>
      <w:r>
        <w:t>Dass Dr. med. B._______ über keinen Facharzttitel auf den Gebieten der Dermatologie und Venerologie sowie Dermatochirurgie verfügt, ist unter dem Aspekt, dass ihr das nicht zu beanstandende fachärztliche Gutachten von Dr. D._______ vom 25. Januar 2018 zur Verfügung stand, von untergeordneter Relevanz. Im Übrigen ist darauf hinzuweisen, dass die Internistin Dr. med. B._______ über den gleichen Facharzttitel wie die Gutachterin Dr. C._______ verfügt.</w:t>
      </w:r>
    </w:p>
    <w:p>
      <w:r>
        <w:rPr>
          <w:b/>
        </w:rPr>
        <w:t>E. 5.3.2</w:t>
      </w:r>
    </w:p>
    <w:p>
      <w:r>
        <w:t>Die Rheumatologie arbeitet unter anderem in enger Kooperation mit der Inneren Medizin zusammen (vgl. hierzu https://www.f._______.ch; zuletzt aufgerufen am 17. Dezember 2018). Aufgrund dieses Umstands sowie des Vorliegens des fachärztlichen Gutachtens der Internistin Dr. C._______ vom 30. August 2017 konnte insbesondere auch mit Blick auf das Gutachten von Dr. D._______ vom 25. Januar 2018 auf eine zusätzliche rheumatologische Untersuchung verzichtet werden. Zwar wäre gemäss Dr. med. D._______ eine Erkrankung aus dem rheumatischen Formenkreis denkbar (act. 60 S. 8). Jedoch führte er im Anschluss in nachvollziehbarer Weise aus, dass die Begutachtung durch einen Sachverständigen aus einem anderen medizinischen Fachgebiet nicht zwingend erforderlich sei, weil die Erkrankung letztlich in Überschneidung auch eine internistische sei (act. 60 S. 9).</w:t>
      </w:r>
    </w:p>
    <w:p>
      <w:r>
        <w:rPr>
          <w:b/>
        </w:rPr>
        <w:t>E. 5.3.3</w:t>
      </w:r>
    </w:p>
    <w:p>
      <w:r>
        <w:t>In psychischer Hinsicht ist weiter festzustellen, dass Dr. C._______ als weitere Diagnose zwar eine Anpassungsstörung erwähnt hatte (act. 59 S. 6). Dem Umstand, dass diese Fachärztin nicht über einen Facharzttitel in der medizinischen Disziplin Psychiatrie und Psychotherapie verfügt, kommt vorliegend jedoch keine Relevanz zu. Der Grund liegt darin, dass sich in den gesamten medizinischen Akten keine Hinweise auf eine gesundheits- und rentenrelevante psychische Störung der Beschwerdeführerin finden lassen. Unter diesem Aspekt konnte auf das Einholen einer Expertise einer entsprechend ausgebildeten Spezialärztin oder eines Spezialarztes (zur antizipierten Beweiswürdigung vgl. BGE 122 V 157 E. 1d; SVR 2005 IV Nr. 8 S. 37 E. 6.2, 2003 AHV Nr. 4 S. 11 E. 4.2.1) bzw. auf die Durchführung einer interdisziplinären Begutachtung (zum Zusammenwirken von physischen und psychischen Beschwerden vgl. Urteil 8C_168/2008 des BGer vom 11. August 2008 E. 6.2.2 mit Hinweisen) verzichtet werden. Daraus folgt, dass auch die - rechtsprechungsgemäss anhand eines strukturierten normativen Prüfungsrasters (BGE 143 V 418 E. 7 und BGE 141 V 281 E. 4.1) vorzunehmende - Prüfung der Frage, ob ein psychischer Gesundheitsschaden eine rentenbegründende Invalidität zu bewirken vermag, im Rahmen des Erlasses der vorliegend angefochtenen Verfügung vom 22. Mai 2018 entfallen konnte.</w:t>
      </w:r>
    </w:p>
    <w:p>
      <w:r>
        <w:rPr>
          <w:b/>
        </w:rPr>
        <w:t>E. 5.3.4</w:t>
      </w:r>
    </w:p>
    <w:p>
      <w:r>
        <w:t>Schliesslich ist betreffend die von Dr. med. B._______ am 22. Februar 2018 vorgenommene und später bestätigte Beurteilung der Einschränkungen im Haushalt im Ausmass von 0 % (act. 30, 48 und B-act. 11) festzuhalten, dass die Bemessung der Invalidität im Aufgabenbereich Haushalt gemäss Art. 28a Abs. 2 IVG und Art. 27 Satz 1 IVV erfolgt, wobei mit der Gewichtung der einzelnen Tätigkeiten in wesentlichem Ausmass Ermessen verbunden ist (vgl. Urteil des BGer 9C_398/2017 vom 14. November 2017 E. 4.1 mit Hinweis) und der Vorinstanz deshalb ein gewisser Spielraum zukommt. Da Dr. med. B._______ die Festsetzung der einzelnen Einschränkungen und die Gewichtung in nicht zu beanstandender Weise vorgenommen hat und folglich keine klar feststellbaren Fehleinschätzungen vorliegen (vgl. hierzu BGE 140 V 543 E. 3.2.1, 130 V 61 E. 6.2), ist die von der Vorinstanz auf Dr. med. B._______ gestützte Auffassung im Verfügungszeitpunkt (22. Mai 2018) nicht zu bemängeln.</w:t>
      </w:r>
    </w:p>
    <w:p>
      <w:r>
        <w:rPr>
          <w:b/>
        </w:rPr>
        <w:t>E. 5.4</w:t>
      </w:r>
    </w:p>
    <w:p>
      <w:r>
        <w:t>Nach dem vorstehend Dargelegten ergibt sich zusammenfassend, dass der rechtserhebliche, medizinische Sachverhalt rechtsgenüglich abgeklärt und gewürdigt wurde (Art. 43 ff. ATSG sowie Art. 12 VwVG) und sich der gesundheitliche Zustand der Beschwerdeführerin und dessen Auswirkungen auf die Arbeits- und Leistungsfähigkeit im Erwerbsteil und im Aufgabenbereich - sollte dieser im Rahmen der Bemessung der Invalidität überhaupt zu berücksichtigen sein (vgl. E. 4.2 hiervor) - aufgrund der vorliegenden Aktenlage schlüssig und zuverlässig beurteilen lässt (vgl. BGE 125 V 353 E. 3b/bb; vgl. zum Ganzen auch E. 2.9 hiervor), weshalb sich weitere medizinische Abklärungen oder solche in Bezug auf die Einschränkungen im Haushalt erübrigen. Es ist demnach davon auszugehen, dass die Beschwerdeführerin ab Juni 2017 in der angestammten Tätigkeit als Kellnerin zu 100 % und in einer leidensadaptierten Verweisungstätigkeit zu 50 % arbeits- resp. erwerbsunfähig ist; im Haushaltsbereich besteht keine Invalidität.</w:t>
      </w:r>
    </w:p>
    <w:p>
      <w:r>
        <w:rPr>
          <w:b/>
        </w:rPr>
        <w:t>E. 6</w:t>
      </w:r>
    </w:p>
    <w:p>
      <w:r>
        <w:t>Da die zur Anwendung gelangende Methode noch nicht vollständig geklärt ist (vgl. E. 4.2 hiervor), kann im vorliegenden Beschwerdeverfahren die Invalidität nicht endgültig bemessen werden. Mit Blick auf den Einkommensvergleich vom 26./27. September 2018 (B-act. 11) ist darauf hinzuweisen, dass die Vorinstanz zwar korrekterweise auf Erfahrungs- und Durchschnittswerte gemäss Tabellenlohn nach den vom Bundesamt für Statistik herausgegebenen Lohnstrukturerhebungen (LSE) abgestellt hatte (betreffend Valideneinkommen vgl. BGE 144 I 103 E. 5.3 und Entscheid des EVG vom 30. Oktober 2002, I 517/02, E. 1.2; betreffend Invalideneinkommen vgl. BGE 143 V 295 E. 2.2). Da für den Einkommensvergleich die Verhältnisse im Zeitpunkt des (hypothetischen) Beginns des Rentenanspruchs massgebend sind (BGE 143 V 295 E. 4.1.3, 129 V 222) und grundsätzlich immer die aktuellsten statistischen Daten zu verwenden sind (BGE 143 V 295 E. 2.3), hat die Vorinstanz im Rahmen der neu zu erlassenden Verfügung mit Blick auf die vom Juni 2017 datierende Anmeldung resp. den frühest möglichen Rentenbeginn (Dezember 2017) die Erhebungen der LSE 2016, umgerechnet auf die betriebsübliche durchschnittliche Wochenarbeitszeit (BGE 126 V 75 E. 3b bb) und geschlechterspezifisch (vgl. hierzu BGE 129 V 408) angepasst an die Lohnentwicklung von 2016 bis 2017, zur Anwendung zu bringen.</w:t>
      </w:r>
    </w:p>
    <w:p>
      <w:r>
        <w:rPr>
          <w:b/>
        </w:rPr>
        <w:t>E. 7</w:t>
      </w:r>
    </w:p>
    <w:p>
      <w:r>
        <w:t>Abschliessend ist die Beschwerdeführerin in diesem Zusammenhang darauf hinzuweisen, dass die schweizerische Invalidenversicherung keinen Berufsschutz kennt und die Beschwerdeführerin somit nicht bloss auf andere Berufe ihrer Berufsgruppe verwiesen werden darf. Es kann an dieser Stelle auf die zutreffenden Ausführungen der Vorinstanz in deren Eingabe vom 30. November 2018 (B-act. 17) verwiesen werden.</w:t>
      </w:r>
    </w:p>
    <w:p>
      <w:r>
        <w:rPr>
          <w:b/>
        </w:rPr>
        <w:t>E. 8</w:t>
      </w:r>
    </w:p>
    <w:p>
      <w:r>
        <w:t>Aufgrund der vorstehenden Erwägungen ist zusammenfassend festzuhalten, dass die Beschwerde insoweit gutzuheissen ist, als die angefochtene Verfügung vom 22. Mai 2018 aufzuheben ist und die Akten im Sinne der Erwägungen an die Vorinstanz zur Durchführung von weiteren Abklärungen betreffend den Status und anschliessendem Erlass einer neuen Verfügung zurückzuweisen sind. Soweit weitergehend ist die Beschwerde abzuweisen.</w:t>
      </w:r>
    </w:p>
    <w:p>
      <w:r>
        <w:rPr>
          <w:b/>
        </w:rPr>
        <w:t>E. 9</w:t>
      </w:r>
    </w:p>
    <w:p>
      <w:r>
        <w:t>Zu befinden bleibt noch über die Verfahrenskosten und eine allfällige Parteientschädigung.</w:t>
      </w:r>
    </w:p>
    <w:p>
      <w:r>
        <w:rPr>
          <w:b/>
        </w:rPr>
        <w:t>E. 9.1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der Beschwerdeführerin keine Kosten aufzuerlegen. Dieser ist der geleistete Kostenvorschuss in der Höhe von Fr. 800.- nach Rechtskraft des vorliegenden Urteils zurückzuerstatten. Der Vorinstanz werden ebenfalls keine Verfahrenskosten auferlegt (Art. 63 Abs. 2 VwVG).</w:t>
      </w:r>
    </w:p>
    <w:p>
      <w:r>
        <w:rPr>
          <w:b/>
        </w:rPr>
        <w:t>E. 9.2</w:t>
      </w:r>
    </w:p>
    <w:p>
      <w:r>
        <w:t>Die mit Blick auf die Rückweisung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Art. 9 Abs. 1 in Verbindung mit Art. 10 Abs. 2 VGKE)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