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C-3576/2012 vom 9. August 2013</w:t>
      </w:r>
    </w:p>
    <w:p>
      <w:r>
        <w:t>Bundesverwaltungsgericht, 2013-08-09, DE</w:t>
      </w:r>
    </w:p>
    <w:p>
      <w:r>
        <w:rPr>
          <w:b/>
        </w:rPr>
        <w:t xml:space="preserve">Quelle: </w:t>
      </w:r>
      <w:r>
        <w:t>https://mcp.opencaselaw.ch/entscheid/bvger_C-3576_2012</w:t>
      </w:r>
    </w:p>
    <w:p>
      <w:r>
        <w:t>FR: TAF C-3576/2012 du 9 août 2013</w:t>
      </w:r>
    </w:p>
    <w:p>
      <w:r>
        <w:t>IT: TAF C-3576/2012 del 9 agosto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Widerhandlungen gegen Normen des Ausländerrechts fallen ohne weiteres unter diese Begriffsbestimmung und können daher Anlass für die Verhängung eines Einreiseverbots sein (vgl. Urteil des Bundesverwaltungsgerichts C 2771/2010 vom 3. Februar 2012 E. 4.3), wobei der Erlass einer solchen Massnahme, wie erwähnt, stets zum Schutz vor künftigen Störungen und nicht im Sinne einer Sanktion erfolgt (vgl. Botschaft, a.a.O., 3813).</w:t>
      </w:r>
    </w:p>
    <w:p>
      <w:r>
        <w:rPr>
          <w:b/>
        </w:rPr>
        <w:t>E. 4.1</w:t>
      </w:r>
    </w:p>
    <w:p>
      <w:r>
        <w:t>Die Vorinstanz begründete das Einreiseverbot primär damit, dass die Beschwerdeführerin in der Schweiz ohne die erforderliche ausländerrechtliche Bewilligung erwerbstätig gewesen sei. Mit Urteil des Bezirksgerichts Luzern vom 11. März 2013 ist die Beschwerdeführerin des rechtswidrigen Aufenthaltes in der Schweiz sowie der Ausübung einer Erwerbstätigkeit ohne Bewilligung (Prostitution), begangen vom 11. April 2012 bis 2. Juni 2012 in Luzern, für schuldig befunden und gestützt auf Art. 115 Abs. 1 Bst. b und c AuG zu einer (bedingt ausgesprochenen) Geldstrafe von 40 Tagessätzen zu Fr. 10.- sowie zu einer Busse von Fr. 200.- verurteilt worden. Für das vorliegende Verfahren ist nicht von Belang, dass das Einreiseverbot erlassen wurde, bevor dieses Strafurteil in Rechtskraft erwachsen ist, knüpft doch das Einreiseverbot grundsätzlich nicht an die Erfüllung einer Strafnorm, sondern an das Vorliegen einer Polizeigefahr an. Ob eine solche besteht und wie sie zu gewichten ist, hat die Behörde in eigener Kompetenz unter Zugrundelegung spezifisch ausländerrechtlicher Kriterien zu beurteilen. Entsprechend ist die Behörde in der Regel nicht gehalten, den rechtskräftigen Abschluss eines Strafverfahrens abzuwarten, sofern das strafbare Verhalten - wie in casu - aufgrund der Akten, insbesondere des erwähnten polizeilichen Einvernahmeprotokolls, als hinreichend erstellt betrachtet werden konnte (vgl. Urteil des Bundesverwaltungsgerichts C-4953/2010 vom 24. August 2012 E. 6.1 mit Hinweis).</w:t>
      </w:r>
    </w:p>
    <w:p>
      <w:r>
        <w:rPr>
          <w:b/>
        </w:rPr>
        <w:t>E. 4.2</w:t>
      </w:r>
    </w:p>
    <w:p>
      <w:r>
        <w:t>Ein mit Erwerbstätigkeit verbundener Aufenthalt in der Schweiz ist grundsätzlich und ungeachtet seiner Dauer bewilligungspflichtig. Als Erwerbstätigkeit gilt jede üblicherweise gegen Entgelt ausgeübte unselbständige oder selbständige Tätigkeit, selbst wenn sie unentgeltlich erfolgt (Art. 11 Abs. 1 und 2 AuG). Ohne Belang ist, in welchem zeitlichen Ausmass diese Tätigkeit ausgeübt wird. Das wird in Art. 1a Abs. 1 VZAE ausdrücklich für die unselbständige Erwerbstätigkeit festgehalten, gilt jedoch allgemein. Aufgrund der vorliegenden Akten (vgl. insbesondere das erwähnte Urteil des Bezirksgerichts Luzern vom 11. März 2013) ist klar erstellt, dass die Beschwerdeführerin in der Zeit von Mitte April 2012 bis zu ihrer Verhaftung am 2. Juni 2012 der entgeltlichen Prostitution nachging, mithin ohne Bewilligung eine Erwerbstätigkeit ausübte und auf diese Weise gegen die öffentliche Sicherheit und Ordnung verstossen hat. Sie hat somit unter dem Gesichtspunkt von Art. 67 Abs. 2 Bst. a AuG hinreichenden Anlass für die Verhängung eines Einreiseverbots gesetzt, zumal ihr Verhalten darauf schliessen lässt, dass sie auch künftig keine Gewähr für ein Respektieren der schweizerischen Rechtsordnung bieten kann.</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vollständig überarbeitete Aufl., Zürich/St. Gallen 2010, Rz. 613 ff.).</w:t>
      </w:r>
    </w:p>
    <w:p>
      <w:r>
        <w:rPr>
          <w:b/>
        </w:rPr>
        <w:t>E. 5.2</w:t>
      </w:r>
    </w:p>
    <w:p>
      <w:r>
        <w:t>Die Beschwerdeführerin ging in der Schweiz - wie festgestellt - ohne Bewilligung einer Erwerbstätigkeit nach, was zu einer strafrechtlichen Verurteilung führte. Aus dem manifestierten Verhalten der Beschwerdeführerin, die sich im Übrigen gegenüber den zuständigen Behörden völlig uneinsichtig gezeigt und das inkriminierte Verhalten vehement abgestritten hat, wird auf eine Gefährdung der öffentlichen Ordnung geschlossen. Das Einreiseverbot hat in erster Linie präventiven Charakter, um einer weiteren illegalen Erwerbstätigkeit der Beschwerdeführerin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Überdies liegt eine spezialpräventive Zielsetzung der Massnahme darin, dass sie den Betroffenen ermahnt, bei einer allfälligen künftigen Wiedereinreise in die Schweiz nach Ablauf der Dauer des Einreiseverbots die für ihn geltenden Regeln einzuhalten (vgl. das erwähnte Urteil des Bundesverwaltungsgerichts C 2771/2010 vom 3. Februar 2012 E. 6.1). Es besteht somit ein gewichtiges öffentliches Interesse an der befristeten Fernhaltung der Beschwerdeführerin.</w:t>
      </w:r>
    </w:p>
    <w:p>
      <w:r>
        <w:rPr>
          <w:b/>
        </w:rPr>
        <w:t>E. 5.3</w:t>
      </w:r>
    </w:p>
    <w:p>
      <w:r>
        <w:t>Die Beschwerdeführerin bringt keine besonderen persönlichen Interessen vor, welche es rechtfertigen würden, von einem Einreiseverbot abzusehen. Das dargelegte öffentliche Interesse fällt demgegenüber stark ins Gewicht. Die Fernhaltemassnahme wirkt im Übrigen nicht absolut. Den Betroffenen steht die Möglichkeit offen, aus wichtigen Gründen die zeitweilige Suspension der angeordneten Fernhaltemassnahme zu beantragen (Art. 67 Abs. 5 AuG), wobei diese praxisgemäss nur für eine kurze und klar begrenzte Zeit gewährt wird (vgl. das Urteil des Bundesverwaltungsgerichts C-3304/2009 vom 18. Januar 2012 E. 7.2 in fine mit Hinweis). Eine wertende Gewichtung der sich entgegenstehenden Interessen führt im vorliegenden Fall zum Ergebnis, dass das auf drei Jahre befristete Einreiseverbot sowohl vom Grundsatz her als auch in Bezug auf seine Dauer eine verhältnismässige und angemessene Massnahme zum Schutz der öffentlichen Sicherheit und Ordnung darstellt. Sie entspricht auch der Praxis in vergleichbaren Fällen (vgl. etwa Urteile des Bundesverwaltungsgerichts C-4953/2010 vom 24. August 2012, C-2900/2009 vom 31. März 2011, sowie noch unter der altrechtlichen Regelung gemäss Art. 13 Abs. 1 des Bundesgesetzes vom 26. März 1931 über Aufenthalt und Niederlassung der Ausländer [ANAG, BS 1 121]: C 4055/2007 bzw. C-4056/2007 vom 21. Januar 2009 und C-43/2006 vom 27. Februar 2007). Es liegen keine besonderen Gründe vor, die es rechtfertigen würden, in casu von der bisherigen Praxis abzuweichen.</w:t>
      </w:r>
    </w:p>
    <w:p>
      <w:r>
        <w:rPr>
          <w:b/>
        </w:rPr>
        <w:t>E. 6</w:t>
      </w:r>
    </w:p>
    <w:p>
      <w:r>
        <w:t>Aus diesen Erwägungen ergibt sich, dass die angefochtene Verfügung im Ergebnis Bundesrecht nicht verletzt und den rechtserheblichen Sachverhalt richtig und vollständig feststellt; sie ist auch angemessen (vgl. Art. 49 VwVG). Die Beschwerde ist daher abzuweisen. Der Vollständigkeit halber wird darauf hingewiesen, dass die mit Zwischenverfügung vom 18. Juli 2012 vorsorglich angeordnete Wiederherstellung der aufschiebenden Wirkung mit dem vorliegenden Urteil dahinfällt.</w:t>
      </w:r>
    </w:p>
    <w:p>
      <w:r>
        <w:rPr>
          <w:b/>
        </w:rPr>
        <w:t>E. 7</w:t>
      </w:r>
    </w:p>
    <w:p>
      <w:r>
        <w:t>Da der Beschwerde bereits im Zeitpunkt ihrer Einreichung keine Aussicht auf Erfolg zugesprochen werden konnte, ist das im Verlaufe des Beschwerdeverfahrens gestellte Gesuch um Gewährung der unentgeltlichen Rechtspflege samt Verbeiständung (Art. 65 Abs. 1 und 2 VwVG) abzuweisen. Auf die prozessuale Bedürftigkeit, die anscheinend vorliegt, kommt es daher nicht mehr an. Bei diesem Ausgang des Verfahrens wären die Verfahrenskosten der Beschwerdeführerin aufzuerlegen (Art. 63 Abs. 1 VwVG, Art. 1 ff. des Reglements vom 21. Februar 2008 über die Kosten und Entschädigungen vor dem Bundesverwaltungsgericht [VGKE, SR 173.320.2]). Aufgrund des Umstandes, dass der Beschwerdeführerin bzw. ihrem Rechtsvertreter vor Einreichung der Rechtsmitteleingabe nur unvollständige Akteneinsicht seitens der Vorinstanz gewährt wurde (vgl. Bst. G und J des Sachverhalts), rechtfertigt es sich jedoch, ausnahmsweise auf die Erhebung von Verfahrenskosten zu verzichten (vgl. Art. 63 Abs. 1 letzter Satz VwVG,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