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C-3573/2009 vom 22. September 2010</w:t>
      </w:r>
    </w:p>
    <w:p>
      <w:r>
        <w:t>Bundesverwaltungsgericht, 2010-09-22, DE</w:t>
      </w:r>
    </w:p>
    <w:p>
      <w:r>
        <w:rPr>
          <w:b/>
        </w:rPr>
        <w:t xml:space="preserve">Quelle: </w:t>
      </w:r>
      <w:r>
        <w:t>https://mcp.opencaselaw.ch/entscheid/bvger_C-3573_2009</w:t>
      </w:r>
    </w:p>
    <w:p>
      <w:r>
        <w:t>FR: TAF C-3573/2009 du 22 septembre 2010</w:t>
      </w:r>
    </w:p>
    <w:p>
      <w:r>
        <w:t>IT: TAF C-3573/2009 del 22 settembre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In Anhang I zur Verordnung (EG) Nr. 539/2001 des Rates vom 15. März 2001 (ABl. L 81 vom 21.03.2001, S. 1-7), abgeändert durch die Verordnung (EG) Nr. 1244/2009 vom 30. November 2009 (ABl. L 336 vom 18.12.2009, S. 1-3), sind diejenigen Staaten aufgelistet, deren Staatsangehörige beim Überschreiten der Aussengrenzen der Schengen-Mitgliedstaaten im Besitze eines Visums sein müssen. Nigeria ist in diesem Anhang aufgeführt, weshalb die Gesuchstellerin der Visumspflicht unterliegt.</w:t>
      </w:r>
    </w:p>
    <w:p>
      <w:r>
        <w:rPr>
          <w:b/>
        </w:rPr>
        <w:t>E. 6.1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6.3.1</w:t>
      </w:r>
    </w:p>
    <w:p>
      <w:r>
        <w:t>Über die Zukunftspläne und Möglichkeiten der Gesuchstellerin nach Beendigung ihres Studiums ist nichts bekannt. In Ermangelung irgendwelcher Angaben ist davon auszugehen, dass sie möglicherweise nach Nigeria zurückkehren müsste.</w:t>
      </w:r>
    </w:p>
    <w:p>
      <w:r>
        <w:rPr>
          <w:b/>
        </w:rPr>
        <w:t>E. 6.3.2</w:t>
      </w:r>
    </w:p>
    <w:p>
      <w:r>
        <w:t>Die wirtschaftliche Lage Nigerias, des bevölkerungsreichsten Landes Afrikas, hat sich zwar in den letzten Jahren deutlich verbessert. Relativiert wird dieser Erfolg aber durch die seit Anfang 2006 im ölreichen Niger-Delta entfachten und mit erheblicher Gewalt und Kriminalität einhergehenden Unruhen, welche zu einer Reduktion der Öl- und Gasförderquoten geführt haben und dadurch auch das weitgehend vom Rohölexport abhängige Wirtschaftswachstum bremsen. Die Unruhen sind ebenfalls mit der Grund für eine Verschlechterung der ohnehin unzureichenden inländischen Energieversorgung. Als Haupthinderungsgrund für die wirtschaftliche Entwicklung gilt allerdings die mangelhafte Infrastruktur des Landes, die breiten Bevölkerungsschichten schwierige ökonomische und soziale Lebensbedingungen beschert und mehr als die Hälfte der Bevölkerung in extremer Armut (weniger als 1 USD/Tag) leben lässt. Auch wenn Präsident Yar' Adua, von Mai 2007 bis zu seinem Tode anfangs Mai 2010 amtierendes Staatsoberhaupt und gleichzeitiger Regierungschef, darum bemüht war, die Reformpolitik seines Vorgängers Obasanjo fortzusetzen und auf die genannten Herausforderungen einzugehen, hat die Implementierung von konkreten Massnahmen erst seit kurzem begonnen. Nach dem Tode von Präsident Yar' Adua hat der neue Präsident Jonathan - ehemals Vizepräsident - angekündigt, seinerseits den Reformen und der wirtschaftlichen Entwicklung verpflichtet zu sein (Quelle: Deutsches Auswärtiges Amt, www.auswaertiges-amt.de &gt; Länder, Reisen und Sicherheit &gt; Nigeria &gt; Rubriken Wirtschaft und Innenpolitik, Stand März bzw. Mai 2010, besucht am 23. August 2010; vgl. auch Urteil des Bundesverwaltungsgerichts C-7306/2008 vom 18. November 2009 E. 8). Angesichts des mit solchen Massnahmen verbundenen Kostenaufwands können grosse Teile der Bevölkerung mittelfristig nicht mit günstigeren Lebensbedingungen rechnen, wohl auch deshalb nicht, weil die weltweite Finanz- und Wirtschaftskrise bis auf Weiteres erhebliche Auswirkungen auf die von den Öleinnahmen abhängigen Staatsausgaben haben dürfte.</w:t>
      </w:r>
    </w:p>
    <w:p>
      <w:r>
        <w:rPr>
          <w:b/>
        </w:rPr>
        <w:t>E. 6.3.3</w:t>
      </w:r>
    </w:p>
    <w:p>
      <w:r>
        <w:t>Vor einem Hintergrund wie dem aufgezeigten besteht erfahrungsgemäss häufig der Wunsch zur Auswanderung, welcher sich vor allem bei jüngeren und ungebundenen Menschen manifestiert. Ein bestehendes soziales Beziehungsnetz (Verwandte oder Freunde)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Im Falle Nigerias spiegelt sich die schwierige Lage im Übrigen in der schweizerischen Asylstatistik wider, in der Personen aus diesem Staat im Jahre 2009 mit 1'786 Gesuchen (+80.8% gegenüber dem Vorjahr) die grösste Gruppe von Asylsuchenden stellten. Auch im 1. und 2. Quartal 2010 war mit 408 bzw. 421 Asylgesuchen erneut Nigeria wichtigstes Herkunftsland; dies, obwohl nigerianische Asylsuchende kaum Aussicht haben, in der Schweiz Asyl zu erhalten (Quelle: www.bfm.admin.ch &gt; Dokumentation &gt; Zahlen und Fakten &gt; Asylstatistik &gt; Jahresstatistiken &gt; kommentierte Asylstatistik 2009 S. 3, sowie kommentierte Asylstatistiken 1. und 2. Quartal 2010, je S. 2).</w:t>
      </w:r>
    </w:p>
    <w:p>
      <w:r>
        <w:rPr>
          <w:b/>
        </w:rPr>
        <w:t>E. 6.4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 der Gesuchstellerin handelt es sich um eine 27-jährige und damit noch junge, ledige Frau. Über ihre familiären und sonstigen Verhältnisse in ihrem Heimat- bzw. derzeitigen Aufenthaltsstaat ist nichts Näheres bekannt. Obwohl das Auskunftsformular des Migrationsamtes des Kantons Basel-Stadt explizit die Frage nach dem Aufenthaltsort von Familienangehörigen des Gastes enthält, unterliess es der Beschwerdeführer, die betreffenden Verhältnisse offen zu legen. Irgendwelche Aufschlüsse zu einem allfälligen persönlichen und familiären Umfeld seines Gastes hat er auch im Rechtsmittelverfahren nicht nachgeliefert. Es kann demnach nicht davon ausgegangen werden, dass die Gesuchstellerin - sei es in Nigeria oder in der Ukraine - Verpflichtungen persönlicher oder familiärer Natur hat, welche die Prognose einer fristgerechten und anstandslosen Wiederausreise nach einem Besuchsaufenthalt in der Schweiz begünstigen könnten.</w:t>
      </w:r>
    </w:p>
    <w:p>
      <w:r>
        <w:rPr>
          <w:b/>
        </w:rPr>
        <w:t>E. 7.2</w:t>
      </w:r>
    </w:p>
    <w:p>
      <w:r>
        <w:t>Die solchermassen fehlenden Beziehungen oder gar Verwurzelungen sind mit dem Umstand allein, dass die Gesuchstellerin in der Ukraine schon seit mehr als drei Jahren einem Medizinstudium nachgeht, nicht wettzumachen. Denn auch in diesem Zusammenhang fehlen wesentliche Informationen. So ist nicht bekannt, wie die Gesuchstellerin ihr Studium überhaupt finanziert, welche Chancen für einen erfolgreichen Abschluss bestehen und welche Möglichkeiten ihr danach offenstehen würden (vgl. E. 6.3.1 oben).</w:t>
      </w:r>
    </w:p>
    <w:p>
      <w:r>
        <w:rPr>
          <w:b/>
        </w:rPr>
        <w:t>E. 7.3</w:t>
      </w:r>
    </w:p>
    <w:p>
      <w:r>
        <w:t>Schliesslich bleibt auch der Aufenthaltszweck - wie er im Beschwerdeverfahren deklariert wurde - nicht ganz plausibel. Nach Darstellung des Beschwerdeführers soll ihm die Gesuchstellerin in ihrer Eigenschaft als Nichte und damit Verwandte in familiären Problemen beistehen, die daraus entstanden seien, dass seine Ehefrau ein ausserehelich gezeugtes Kind zur Welt gebracht hat. Zum einen ist schwer nachvollziehbar, weshalb die Beteiligten das angebliche Verwandtschaftsverhältnis nicht von allem Anfang an korrekt wiedergeben konnten. Irgendwelche Belege für dieses Verhältnis wurden im Übrigen auch nachträglich nicht ediert. Zum andern fällt auf, dass weder die Gesuchstellerin noch der Gastgeber in ihren Gesuchseingaben den besonderen Zweck des beabsichtigten Besuches zu erkennen gaben. Selbst in seiner schriftlichen Auskunft vom 17. April 2009 an die kantonale Migrationsbehörde hielt der Beschwerdeführer auf die Frage nach den Gründen für den beantragten Aufenthalt noch fest, es gehe um "Urlaub / Besuch / Ferien". Dies, obwohl er schon seit Dezember 2008 aufgrund eines gerichtsmedizinischen Gutachtens Gewissheit darüber hatte, dass er nicht der biologische Vater des von seiner Ehefrau im November 2008 geborenen Kindes ist.</w:t>
      </w:r>
    </w:p>
    <w:p>
      <w:r>
        <w:rPr>
          <w:b/>
        </w:rPr>
        <w:t>E. 7.4</w:t>
      </w:r>
    </w:p>
    <w:p>
      <w:r>
        <w:t>Im Zusammenhang mit der Gewähr für eine anstandslose Wiederausreise wendet der Beschwerdeführer schliesslich ein, dass die Gesuchstellerin schon einmal ein Schengen-Visum erhalten habe, seit sie sich zu Studienzwecken in der Ukraine aufhalte. Sie sei damals (nach einem Aufenthalt in Polen) wieder in die Ukraine zurückgekehrt, um ihr Studium fortzusetzen. Daraus sei ohne Weiteres zu folgern, dass sie auch jetzt nach einem Aufenthalt in der Schweiz fristgerecht an ihren Studienort zurückkehren werde. Dieser Schluss ist allerdings nicht zwingend. Angesichts der vorerwähnten weitgehenden Unkenntnis über ihre persönlichen Verhältnisse kann nicht ausgeschlossen werden, dass sich die Umstände damals wesentlich anders präsentierten.</w:t>
      </w:r>
    </w:p>
    <w:p>
      <w:r>
        <w:rPr>
          <w:b/>
        </w:rPr>
        <w:t>E. 7.5</w:t>
      </w:r>
    </w:p>
    <w:p>
      <w:r>
        <w:t>Vor dem aufgezeigten persönlichen und allgemeinen Hintergrund dufte die Vorinstanz demnach davon ausgehen, dass keine hinreichende Gewähr für eine fristgerechte und anstandslose Wiederausreise der Gesuchstellerin nach einem Besuchsaufenthalt besteht. An dieser Beurteilung vermögen die Zusicherungen des Beschwerdeführers nichts zu ändern. Als Gastgeber kann er lediglich für gewisse finanzielle Risiken im Zusammenhang mit dem Besuchsaufenthalt garantieren. Weitergehende Zusicherungen sind rechtlich nicht verbindlich und faktisch auch nicht durchsetzbar (BVGE 2009/27 E. 9).</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