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C-3570/2009 vom 8. Dezember 2010</w:t>
      </w:r>
    </w:p>
    <w:p>
      <w:r>
        <w:t>Bundesverwaltungsgericht, 2010-12-08, DE</w:t>
      </w:r>
    </w:p>
    <w:p>
      <w:r>
        <w:rPr>
          <w:b/>
        </w:rPr>
        <w:t xml:space="preserve">Quelle: </w:t>
      </w:r>
      <w:r>
        <w:t>https://mcp.opencaselaw.ch/entscheid/bvger_C-3570_2009</w:t>
      </w:r>
    </w:p>
    <w:p>
      <w:r>
        <w:t>FR: TAF C-3570/2009 du 8 décembre 2010</w:t>
      </w:r>
    </w:p>
    <w:p>
      <w:r>
        <w:t>IT: TAF C-3570/2009 del 8 dicembre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Aufgrund des zeitlichen Ablaufs im Vorfeld der erleichterten Einbürgerung des Beschwerdeführers gelangte die Vorinstanz zur Vermutung, dieser habe während des Einbürgerungsverfahrens falsche Angaben gemacht bzw. wesentliche Tatsachen verschwiegen.</w:t>
      </w:r>
    </w:p>
    <w:p>
      <w:r>
        <w:rPr>
          <w:b/>
        </w:rPr>
        <w:t>E. 5.1</w:t>
      </w:r>
    </w:p>
    <w:p>
      <w:r>
        <w:t>Aus dem unbestritten gebliebenen Akteninhalt geht hervor, dass der Beschwerdeführer anfangs 1996 erfolglos ein Asylgesuch stellte, dass er spätestens nach Beendigung seiner vorläufigen Aufnahme im Jahr 1999 die Schweiz hätte verlassen müssen, jedoch aufgrund seiner Eheschliessung mit einer Schweizerin im Mai 2000 eine Aufenthaltsbewilligung im Kanton Freiburg erhielt. Aus den Akten ergibt sich weiterhin, dass er im Jahr 2001 mit einer kosovarischen Landsfrau ein Kind zeugte, dass er im Mai 2002 ein vorzeitiges Gesuch um erleichterte Einbürgerung stellte und dieses Gesuch ein Jahr später erneuerte, ohne dabei den im Juli 2002 geborenen unehelichen Sohn zu erwähnen. Anfangs Februar 2004 vereinbarten die Ehegatten die Gütertrennung; Ende April 2004 unterzeichneten sie die Erklärung über das Bestehen einer stabilen ehelichen Partnerschaft. Schliesslich steht fest, dass A._______ am 21. Juni 2004 eingebürgert wurde und beide Ehegatten am 26. September 2005 ein gemeinsames Scheidungsbegehren einreichten. Hierzu hat B._______angemerkt, dass sie bereits seit Monaten keine richtige Ehe mehr führe und sie sich einem anderen Mann zugewendet habe (vgl. den in den Vorakten befindlichen Auszug aus den Scheidungsakten). In diesem Zusammenhang ist unbestritten, dass sie über einen Zeitraum von mehreren Monaten in einem Studio ihres Schwagers in Murten gelebt hat.</w:t>
      </w:r>
    </w:p>
    <w:p>
      <w:r>
        <w:rPr>
          <w:b/>
        </w:rPr>
        <w:t>E. 5.2</w:t>
      </w:r>
    </w:p>
    <w:p>
      <w:r>
        <w:t>Der geschilderte Sachverhalt zeigt, dass der Beschwerdeführer bereits zwei Jahre nach seiner Heirat um den Erhalt des Schweizer Bürgerrechts bemüht war, dass sein zweites Gesuch um erleichterte Einbürgerung unvollständig war und dass er wenige Monate vor seiner erleichterten Einbürgerung eine güterrechtliche Auseinandersetzung herbeiführte. Zusammen mit den nachfolgenden Ereignissen begründen die mit dieser Indizienkette dargelegten Umstände ohne Weiteres die Vermutung, dass der Beschwerdeführer spätestens im Zeitpunkt seiner erleichterten Einbürgerung keinen zukunftsgerichteten Ehewillen mehr besass.</w:t>
      </w:r>
    </w:p>
    <w:p>
      <w:r>
        <w:rPr>
          <w:b/>
        </w:rPr>
        <w:t>E. 5.3</w:t>
      </w:r>
    </w:p>
    <w:p>
      <w:r>
        <w:t>Die an die Vorinstanz gerichteten Eingaben der Ex-Ehefrau vom 19. Juli 2008 und 16. Oktober 2008 bestärken diese Vermutung. In ihrem Schreiben vom 19. Juli 2008 äusserte B._______ihr Unverständnis über das gegen ihren Ex-Ehemann - und erneuten Lebensgefährten - eingeleitete Nichtigkeitsverfahren und verlangte, ihm sei der Schweizer Pass zu belassen, vor allem, weil dadurch Reisen in die ganze Welt möglich geworden seien. In ihrer Eingabe vom 16. Oktober 2008 - Antwort auf den ihr vom BFM am 13. Oktober 2008 übermittelten Fragenkatalog - gab sie einleitend zu verstehen, dass die Scheidung sicher nie erfolgt wäre, wären ihr die Konsequenzen und der Aufwand des Nichtigkeitsverfahrens klar gewesen. Im gleichen Schreiben äusserte sie zwar, es habe im Jahr 2004 keine Scheidungsabsichten gegeben, relativierte dies aber durch die Angabe, sie sei die gewesen, die immer nach Gründen gesucht habe, wieso, warum, und nach einer gewissen Zeit die Nase voll gehabt habe ... (Antwort auf Frage 7). Bestenfalls lassen die Ausführungen von B._______darauf schliessen, dass im zeitlichen Umfeld der Einbürgerung noch kein Scheidungswunsch formuliert wurde, nicht aber, dass seinerzeit noch eine stabile Lebensgemeinschaft der Ehegatten bestand.</w:t>
      </w:r>
    </w:p>
    <w:p>
      <w:r>
        <w:rPr>
          <w:b/>
        </w:rPr>
        <w:t>E. 6</w:t>
      </w:r>
    </w:p>
    <w:p>
      <w:r>
        <w:t>Folglich stellt sich die Frage, ob die vom Beschwerdeführer vorgebrachten Argumente eine andere Schlussfolgerung erlauben.</w:t>
      </w:r>
    </w:p>
    <w:p>
      <w:r>
        <w:rPr>
          <w:b/>
        </w:rPr>
        <w:t>E. 6.1</w:t>
      </w:r>
    </w:p>
    <w:p>
      <w:r>
        <w:t>Da die Ehegatten auf gemeinsames Begehren hin geschieden wurden, steht fest, dass ihre Ehe seinerzeit gescheitert ist. Ob sie nach Einreichung ihres Scheidungsbegehrens noch eine gemeinsame Wohnung benutzten, spielt ebensowenig eine Rolle wie alle weiteren darauffolgenden Ereignisse. Wie oben (E. 3.1) dargelegt, ist allein massgeblich, ob im Zeitraum zwischen dem Gesuch um erleichterte Einbürgerung und dem Erhalt des Schweizerischen Bürgerrechts eine tatsächliche Ehegemeinschaft vorlag. Entgegen der Meinung des Beschwerdeführers kann damit ausser Betracht bleiben, dass die Ex-Ehegatten mittlerweile wieder zusammenleben, dass sie gemeinsame Interessen verfolgen und ihre Scheidung möglicherweise als Irrtum bzw. Fehler ansehen. Vor diesem Hintergrund sind auch die vom Beschwerdeführer eingereichten Sympathieschreiben, die ein Zusammenleben der Ex-Ehepartner bestätigen, aber allesamt aus dem Jahr 2009 stammen, ohne Belang. Gleiches gilt für die der Beschwerde beigefügten Reiseunterlagen.</w:t>
      </w:r>
    </w:p>
    <w:p>
      <w:r>
        <w:rPr>
          <w:b/>
        </w:rPr>
        <w:t>E. 6.2</w:t>
      </w:r>
    </w:p>
    <w:p>
      <w:r>
        <w:t>Zur ehelichen Gemeinschaft im Umfeld des Einbürgerungsverfahrens enthält die Beschwerdeschrift ungenaue und teilweise widersprüchliche Ausführungen. Einerseits stellt der Beschwerdeführer die Zerrüttung seiner Ehe in Zusammenhang mit seiner beruflichen Inanspruchnahme und dem im Frühjahr 2004 begonnenen Hausbau; seine Ehefrau habe sich deswegen vernachlässigt gefühlt und sich einem anderen Mann zugewendet (S. 4). Andererseits siedelt er die Zerrüttung seiner Ehe im Folgejahr an, angeblich dann, nachdem seine Ehefrau von seiner unehelichen Vaterschaft erfahren habe; er mutmasst aber dennoch, dass ihn seine Ehefrau bereits im Jahr 2005 im Hinblick auf den Familiennachzug seines Sohnes unterstützt habe (S. 6). Weiterhin macht er geltend, seine Ehefrau habe sich im Herbst 2005 zur Trennung entschlossen (S. 4); kurz vorher führte er jedoch noch aus, man habe den gemeinsamen Haushalt nach nur dreimonatiger Trennung im August 2006 wieder aufgenommen (S. 2). Schliesslich wirft er der Vorinstanz replikweise vor, sie gehe zu Unrecht von einer Trennung im September 2005 aus, da seine Ehefrau nur provisorisch im Studio ihres Schwagers übernachtet habe. Mit diesem inhaltlich diffusen und zeitlich unpräzisen Vorbringen hat der Beschwerdeführer nicht darlegen können, dass erst nach seiner erleichterten Einbürgerung ein bis dahin unvorhersehbares Ereignis zum Scheitern der Ehe geführt hat. Bereits gegenüber der Vorinstanz hatte der Beschwerdeführer genaue Zeitangaben vermieden und insbesondere den - angeblich einmaligen - sexuellen Kontakt zur Mutter seines Sohnes in einen zeitlichen Zusammenhang mit dem erst 2004 begonnenen Hausbau gestellt (vgl. Punkt 4 seiner Eingabe vom 22. September 2008).</w:t>
      </w:r>
    </w:p>
    <w:p>
      <w:r>
        <w:rPr>
          <w:b/>
        </w:rPr>
        <w:t>E. 7</w:t>
      </w:r>
    </w:p>
    <w:p>
      <w:r>
        <w:t>Die Vermutung, dass sich der Beschwerdeführer die erleichterte Einbürgerung erschlichen hat, wird auch durch den Umstand bestärkt, dass er gegenüber den Behörden seine uneheliche Vaterschaft verschwiegen hat. Dass das Kind - wie er betont - beim ersten, vorzeitigen Einbürgerungsgesuch vom 6. Mai 2002 noch gar nicht auf der Welt war, ist unerheblich. Immerhin hätte er dieses Kind beim zweiten Einbürgerungsgesuch angeben müssen, enthält doch das Gesuchsformular eine entsprechende Rubrik. Der Beschwerdeführer hat das seinerseits bewusste Versäumnis damit begründet, dass er seine Ehe nicht habe aufs Spiel setzen wollen. Dieses Verhalten ist jedoch nicht zu rechtfertigen, steht es doch nicht im Belieben eines Gesuchstellers, die für die Einbürgerung relevanten Angaben zu unterdrücken. Im vorliegenden Fall hat das unvollständig ausgefüllte Einbürgerungsgesuch die Vorinstanz davon abgehalten, alle Aspekte der Einbürgerungsvoraussetzungen zu überprüfen und hierzu gegebenenfalls andere Behörden zu kontaktieren. Auch dies deutet darauf hin, dass sich der Beschwerdeführer durch absichtliche Täuschung die erleichterte Einbürgerung erschlichen hat.</w:t>
      </w:r>
    </w:p>
    <w:p>
      <w:r>
        <w:rPr>
          <w:b/>
        </w:rPr>
        <w:t>E. 8</w:t>
      </w:r>
    </w:p>
    <w:p>
      <w:r>
        <w:t>Die angefochtene Verfügung geht demzufolge zu Recht davon aus, dass der Beschwerdeführer mit seiner Erklärung vom 29. April 2004 bewusst falsche Angaben über den Zustand seiner Ehe gemacht und sich somit seine erleichterte Einbürgerung erschlichen hat. Die gleiche Schlussfolgerung ergibt sich aber auch aufgrund seines zweiten Einbürgerungsgesuchs vom 18. Mai 2003, in welchem er wider besseres Wissen keine Angaben zum mittlerweile geborenen Sohn gemacht hat. Mit seinem Vorbringen hat der Beschwerdeführer die vermutungsweise gezogene Schlussfolgerung nicht widerlegen können.</w:t>
      </w:r>
    </w:p>
    <w:p>
      <w:r>
        <w:rPr>
          <w:b/>
        </w:rPr>
        <w:t>E. 9</w:t>
      </w:r>
    </w:p>
    <w:p>
      <w:r>
        <w:t>Die vorinstanzliche Verfügung vom 29. April 2009 ist somit im Ergebnis als rechtmässig und angemessen zu bestätigen (Art. 49 VwVG) und die Beschwerde infolgedessen abzuweisen.</w:t>
      </w:r>
    </w:p>
    <w:p>
      <w:r>
        <w:rPr>
          <w:b/>
        </w:rPr>
        <w:t>E. 10</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