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C-356/2013 vom 24. November 2016</w:t>
      </w:r>
    </w:p>
    <w:p>
      <w:r>
        <w:t>Bundesverwaltungsgericht, 2016-11-24, DE</w:t>
      </w:r>
    </w:p>
    <w:p>
      <w:r>
        <w:rPr>
          <w:b/>
        </w:rPr>
        <w:t xml:space="preserve">Quelle: </w:t>
      </w:r>
      <w:r>
        <w:t>https://mcp.opencaselaw.ch/entscheid/bvger_C-356_2013</w:t>
      </w:r>
    </w:p>
    <w:p>
      <w:r>
        <w:t>FR: TAF C-356/2013 du 24 novembre 2016</w:t>
      </w:r>
    </w:p>
    <w:p>
      <w:r>
        <w:t>IT: TAF C-356/2013 del 24 novembre 2016</w:t>
      </w:r>
    </w:p>
    <w:p>
      <w:pPr>
        <w:pStyle w:val="Heading2"/>
      </w:pPr>
      <w:r>
        <w:t>Regeste</w:t>
      </w:r>
    </w:p>
    <w:p>
      <w:r>
        <w:t>Spezialitätenliste in der Krankenversicherung</w:t>
      </w:r>
    </w:p>
    <w:p>
      <w:pPr>
        <w:pStyle w:val="Heading2"/>
      </w:pPr>
      <w:r>
        <w:t>Erwägungen</w:t>
      </w:r>
    </w:p>
    <w:p>
      <w:r>
        <w:rPr>
          <w:b/>
        </w:rPr>
        <w:t>E. 1.1</w:t>
      </w:r>
    </w:p>
    <w:p>
      <w:r>
        <w:t>Gemäss Art. 31 VGG in Verbindung mit Art. 33 Bst. d VGG sowie Art. 5 VwVG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ATSG sind vorliegend nicht anwendbar (vgl. Art. 1 Abs. 1 und 2 Bst. b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beziehungsweise Abänderung ein schutzwürdiges Interesse. Nachdem der Verfahrenskostenvorschuss rechtzeitig geleistet worden ist, kann auf die frist- und formgerecht eingereichte Beschwerde eingetreten werden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2008, Art. 49 N. 26).</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verfügten Preissenkung, also am 5. Dezember 2012 geltenden materiellen Bestimmungen. Dazu gehören einerseits namentlich das KVG in der nach Inkrafttreten der Änderung vom 16. Juli 2012 (AS 2012 3745; BBl 2007 5037, 2010 7841) geltenden Fassung, die KVV in der nach Inkrafttreten der Änderung vom 1. Mai 2012 geltenden Fassung (AS 2012 1767) und die KLV in der nach Inkrafttreten der Änderung vom 1. September 2012 geltenden Fassung (AS 2012 4347).</w:t>
      </w:r>
    </w:p>
    <w:p>
      <w:r>
        <w:rPr>
          <w:b/>
        </w:rPr>
        <w:t>E. 3</w:t>
      </w:r>
    </w:p>
    <w:p>
      <w:r>
        <w:t>Die Beschwerdeführerin hat in ihrer Replik vom 14. Oktober 2013 die Anträge und die Begründung ihrer Beschwerde vom 22. Januar 2013 modifiziert, indem sie im Hauptantrag nicht mehr beantragt, die geltenden FAP des Arzneimittels seien unverändert zu belassen, sondern neu eine Festlegung des FAP anhand des APV ausschliesslich mit Grossbritannien fordert; im Eventualantrag verlangt sie überdies lediglich noch die zusätzliche Ermittlung und Berücksichtigung der Preise in Dänemark und in den Niederlanden. Damit lässt sie im Ergebnis einen Teil ihrer Anträge fallen (vgl. BVGer act. 1, S. 2 und BVGer act. 24, S. 2 ff.).</w:t>
      </w:r>
    </w:p>
    <w:p>
      <w:r>
        <w:rPr>
          <w:b/>
        </w:rPr>
        <w:t>E. 3.1</w:t>
      </w:r>
    </w:p>
    <w:p>
      <w:r>
        <w:t>Nach Ablauf der Beschwerdefrist können Begehren einer Beschwerde nicht mehr erweitert, sondern höchstens präzisiert, eingeengt oder fallen gelassen werden (André Moser/Michael Beusch/Lorenz Kneubühler, Prozessieren vor dem Bundesverwaltungsgericht, 2. Aufl. 2013, S. 123 Rz. 2.218; Frank Seetaler/Fabia Bochsler, in: Praxiskommentar VwVG, 2009, Art. 52 N. 41). 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2008, Art. 44 N. 5). Indem die Beschwerdeführerin in ihrer Replik vom 14. Oktober 2013 einen Teil der Anträge hat fallen lassen, hat sie den Streitgegenstand eingeschränkt. Die vorgenommene Modifikation des Rechtsbegehrens ist daher ohne Weiteres zulässig. Formell angefochten bleibt damit zwar die gesamte Verfügung der Vorinstanz vom 5. Dezember 2012, weil die Beschwerdeführerin deren Aufhebung und die Rückweisung der Streitsache zur Ermittlung der Fabrikabgabe- und der Publikumspreise im Sinne ihrer Begründung fordert. An der ursprünglich geforderten Beibehaltung des FAP (Ziff. 3 a des Rechtsbegehrens; BVGer act. 1, S. 2) und dem eventualiter beantragten Ausschluss wechselkursbedingter Preisreduktionen hält sie demgegenüber nicht mehr fest.</w:t>
      </w:r>
    </w:p>
    <w:p>
      <w:r>
        <w:rPr>
          <w:b/>
        </w:rPr>
        <w:t>E. 4.1</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vom 1. September 2011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C-5926/2008 vom 11. September 2011 E. 3.5 und C-2263/2006 vom 7. November 2007 E. 5.1). Massgebend für einen Rückgriff auf das SL-Handbuch ist vorliegend in zeitlicher Hinsicht dessen Fassung vom 1. Januar 2012, welches in der Folge durch das neue SL-Handbuch vom 1. März 2013 ersetzt wurde.</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(BVGE 2009/61 E. 6.1, BVGE 2007/41 E. 2 mit Hinweisen: vgl. dazu auch Fritz Gygi, Bundesverwaltungsrechtspflege, 2. Aufl. 1983, S. 212). Dies gilt vorliegend insbesondere für die Frage, ob sich die massgeblichen Bestimmungen in der KVV und KLV auf eine hinreichende gesetzliche Grundlage zu stützen vermögen.</w:t>
      </w:r>
    </w:p>
    <w:p>
      <w:r>
        <w:rPr>
          <w:b/>
        </w:rPr>
        <w:t>E. 5</w:t>
      </w:r>
    </w:p>
    <w:p>
      <w:r>
        <w:t>Materiell umstritten und zu prüfen ist im vorliegenden Verfahren, ob das BAG einerseits zu Recht von der Festlegung eines FAP anhand eines therapeutischen Quervergleichs abgesehen hat und anderseits, ob es den durchgeführten APV korrekt vorgenommen und gestützt darauf zu Recht eine Senkung der SL-Preise im vorstehend dargelegten Ausmass (vgl. Sachverhalt, Bst. A.h hievor) verfügt hat. Zunächst sind die Rechtsgrundlagen darzulegen; dahingehend, wie sie die Kostenübernahme für Arzneimittel durch die OKP regeln (vgl. E. 5.1 - 5.4), und nach welchen Kriterien die Wirtschaftlichkeit eines Arzneimittels im Allgemeinen (vgl. E. 5.5) und im Rahmen ordentlicher Überprüfungen beurteilt wird (vgl. E. 5.6 - 5.7).</w:t>
      </w:r>
    </w:p>
    <w:p>
      <w:r>
        <w:rPr>
          <w:b/>
        </w:rPr>
        <w:t>E. 5.1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5.2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 E. 5.5 und 5.7).</w:t>
      </w:r>
    </w:p>
    <w:p>
      <w:r>
        <w:rPr>
          <w:b/>
        </w:rPr>
        <w:t>E. 5.3</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Fabrikabgabepreis (FAP).</w:t>
      </w:r>
    </w:p>
    <w:p>
      <w:r>
        <w:rPr>
          <w:b/>
        </w:rPr>
        <w:t>E. 5.4</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w:t>
      </w:r>
    </w:p>
    <w:p>
      <w:r>
        <w:rPr>
          <w:b/>
        </w:rPr>
        <w:t>E. 5.5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5.6</w:t>
      </w:r>
    </w:p>
    <w:p>
      <w:r>
        <w:t>Die im Rahmen der Aufnahme eines Arzneimittels in die Spezialitätenlisten gestellten Anforderungen müssen während der gesamten Verweildauer des Arzneimittels auf der Spezialitätenliste erfüllt sein. Die Modalitäten im Zusammenhang mit der Überprüfung alle drei Jahre werden in Art. 65d KVV (in der seit 1. Mai 2012 geltenden Fassung; AS 2012 1767) geregelt. Diese Bestimmung unter dem Titel "Überprüfung der Aufnahmebedingungen alle drei Jahre" lautet wie folgt: "1Das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w:t>
      </w:r>
    </w:p>
    <w:p>
      <w:r>
        <w:rPr>
          <w:b/>
        </w:rPr>
        <w:t>E. 5.7</w:t>
      </w:r>
    </w:p>
    <w:p>
      <w:r>
        <w:t>Die Modalitäten der dreijährlichen Überprüfung werden in Art. 35b KLV (Sachüberschrift "Überprüfung der Aufnahmebedingungen alle drei Jahre") in der seit 1. August 2010 geltenden Fassung (AS 2010 3249) wie folgt geregelt: "1Das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5Für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 [7-10]."</w:t>
      </w:r>
    </w:p>
    <w:p>
      <w:r>
        <w:rPr>
          <w:b/>
        </w:rPr>
        <w:t>E. 6.1</w:t>
      </w:r>
    </w:p>
    <w:p>
      <w:r>
        <w:t>Das Bundesverwaltungsgericht hat in seinem Grundsatzurteil C-5912/2013 vom 30. April 2015 in E. 8 festgehalten, dass nach dem Willen des Gesetzgebers und der konstanten Praxis des Bundesgerichts bei der dreijährlichen Prüfung der Wirksamkeit, Zweckmässigkeit und Wirtschaftlichkeit von Arzneimitteln (gestützt auf Art. 65d Abs. 1bis lit.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6.2</w:t>
      </w:r>
    </w:p>
    <w:p>
      <w:r>
        <w:t>Eine vom BAG gegen dieses Grundsatzurteil erhobene Beschwerde hat das Bundesgericht mit BGE 142 V 26 abgewiesen. Zur Begründung hat das Bundesgericht im Wesentlichen ausgeführt,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w:t>
      </w:r>
    </w:p>
    <w:p>
      <w:r>
        <w:rPr>
          <w:b/>
        </w:rPr>
        <w:t>E. 6.3</w:t>
      </w:r>
    </w:p>
    <w:p>
      <w:r>
        <w:t>Mit Blick auf das dargelegte, höchstinstanzlich bestätigte Grundsatzurteil des Bundesverwaltungsgerichts wäre vorliegend grundsätzlich eine Wirtschaftlichkeitsprüfung gestützt auf den APV und den TQV vorzunehmen. Allerdings hat die Beschwerdeführerin vorliegend geltend gemacht, dass der Wirkstoff E.______ in der Schweiz nur im Arzneimittel B._______ erhältlich sei und vergleichbare Präparate mit anderem Wirkstoff nicht existieren würden (BVGer act. 1, S. 19). Diese Behauptung wurde von der Vorinstanz in ihrer Beschwerdevernehmlassung (BVGer act. 15, S. 10 ff.) nicht bestritten oder infrage gestellt. Es fragt sich daher, ob in dieser Konstellation die Vornahme eines TQV von vornherein ausgeschlossen ist.</w:t>
      </w:r>
    </w:p>
    <w:p>
      <w:r>
        <w:rPr>
          <w:b/>
        </w:rPr>
        <w:t>E. 6.4.1</w:t>
      </w:r>
    </w:p>
    <w:p>
      <w:r>
        <w:t>Beim TQV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(Art. 34 Abs. 2 Bst. b KLV; Ziff. C.2.1.3 des SL-Handbuchs; BGE 127 V 275 E. 2b). Die therapeutische Gleichwertigkeit muss mit klinischen Studien belegt werden (Ziff. C.2.1.4 des SL-Handbuchs). Massgebendes Kriterium ist die Wirksamkeit. Weisen wissenschaftliche Studien nach, dass ein Arzneimittel den Heilerfolg in kürzerer Zeit, mit weniger Nebenwirkungen und geringerer Rückfallrate erwarten lässt als die Vergleichsarzneimittel, soll dem beim Preisvergleich Rechnung getragen werden (BGE 127 V 275 E. 2b). Verglichen werden kann sowohl mit Originalpräparaten wie mit Generika, zumal weder das Gesetz noch die Verordnungen diesbezügliche Beschränkungen enthalten.</w:t>
      </w:r>
    </w:p>
    <w:p>
      <w:r>
        <w:rPr>
          <w:b/>
        </w:rPr>
        <w:t>E. 6.4.2</w:t>
      </w:r>
    </w:p>
    <w:p>
      <w:r>
        <w:t>Beim Arzneimittel B._______ handelt es sich unbestrittenermassen um das einzige in der Schweiz zugelassene Arzneimittel mit dem Wirkstoff E.______. Die Indikation des Medikamentes wird im Arzneimittelkompendium dahingehend umschrieben, dass es (Angaben zur Indikation). Weitere Arzneimittel mit dem Wirkstoff E.______ und der genannten Indikation sind in der Schweiz unbestrittenermassen nicht zugelassen (Arzneimittelkompendium, &lt; https://compendium.ch &gt;, abgerufen am 14.11.2016). Dass in der Schweiz andere Arzneimittel mit der obgenannten Indikation zugelassen wären, deren therapeutische Gleichwertigkeit durch entsprechende klinische Studien belegt worden sei, wird von keinem Verfahrensbeteiligten behauptet oder gar belegt. Nachdem die Verfahrensbeteiligten übereinstimmend davon ausgehen, dass kein Vergleichspräparat zur Verfügung steht, ist es auch unter Berücksichtigung der bundesgerichtlichen Rechtsprechung, insbesondere auch mit Blick auf BGE 142 V 26, nicht zu beanstanden, dass hier kein TQV durchgeführt und die Wirtschaftlichkeit allein anhand des APV durchgeführt wurde (vgl. Urteil des BVGer C-5818/2012 vom 1. September 2015 E. 9.5; Urteil des BGer K 148/06 vom 3. April 2007 E. 6.3).</w:t>
      </w:r>
    </w:p>
    <w:p>
      <w:r>
        <w:rPr>
          <w:b/>
        </w:rPr>
        <w:t>E. 7</w:t>
      </w:r>
    </w:p>
    <w:p>
      <w:r>
        <w:t>Im Folgenden ist auf die Rüge der Beschwerdeführerin, wonach der APV nicht korrekt vorgenommen worden sei, einzugehen.</w:t>
      </w:r>
    </w:p>
    <w:p>
      <w:r>
        <w:rPr>
          <w:b/>
        </w:rPr>
        <w:t>E. 7.1</w:t>
      </w:r>
    </w:p>
    <w:p>
      <w:r>
        <w:t>Die Beschwerdeführerin beanstandet in ihrer Replik die Durchführung des APV insoweit, als sie vorbringt, dass das Arzneimittel B._______, mit Ausnahme von Grossbritannien, nicht unter ihrer Kontrolle hergestellt und vertrieben werde. Hinsichtlich der übrigen Referenzländer (Deutschland, Dänemark, Frankreich, Österreich und den Niederlanden) falle ein APV ausser Betracht, weil sie hier keinen Einfluss mehr auf die Preisbildung ausüben könne. Selbst bei einer Anwendung von Ziff. C.3.5 des SL-Handbuchs wäre ein APV ausschliesslich unter Berücksichtigung der Preise in Grossbritannien zulässig, weil das Unternehmen C._______ in den übrigen Referenzländern nicht nur die Vertriebsrechte der Beschwerdeführerin, sondern sämtliche Rechte an B._______ für diese Länder von der Beschwerdeführerin erworben habe (BVGer act. 24, S. 6 ff.). Dagegen wendet die Vorinstanz ein, Art. 35b Abs. 4 Bst. a KLV verlange nicht, dass die Zulassungsinhaberinnen in der Schweiz und im Ausland identisch sein müssten. Diese Bestimmung wolle vor allem sicherstellen, dass es sich bei der Bekanntgabe der FAP aus den Referenzländern im Rahmen der dreijährlichen Überprüfung um eine Bringschuld der Zulassungsinhaberin von SL-Arzneimitteln handle. Art. 35 KLV sehe lediglich vor, dass mit denselben Arzneimitteln in Ländern mit wirtschaftlich vergleichbaren Strukturen im Pharmabereich verglichen werde. Dass die Beschwerdeführerin keinen Einfluss auf die Preisbildung des Arzneimittels in den Referenzländern habe, schliesse den APV nicht aus. Auch aus Art. 34 Abs. 2 Bst. a KLV gehe hervor, dass für die Beurteilung der Wirtschaftlichkeit eines Arzneimittels dessen FAP im Ausland berücksichtigt werde. Fakt sei, dass das Medikament in den Referenzländern im Handel sei, weshalb vorliegend im Rahmen der allgemeinen Überprüfung der Aufnahmebedingungen zwingend ein APV durchgeführt werden müsse (BVGer act. 28, S. 4 f.).</w:t>
      </w:r>
    </w:p>
    <w:p>
      <w:r>
        <w:rPr>
          <w:b/>
        </w:rPr>
        <w:t>E. 7.2.1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 des BGer 6P.62/2007 vom 27. Oktober 2007 E. 3.1; Urteil des BVGer A 1225/2013 vom 27. März 2014 E. 1.2.3).</w:t>
      </w:r>
    </w:p>
    <w:p>
      <w:r>
        <w:rPr>
          <w:b/>
        </w:rPr>
        <w:t>E. 7.2.2</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 Verordnungsrecht ist dabei gesetzeskonform auszulegen. Es sind die gesetzgeberischen Anordnungen, Wertungen und der in der Delegationsnorm eröffnete Gestaltungsspielraum mit seinen Grenzen zu berücksichtigen. Darüber hinaus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7.2.3</w:t>
      </w:r>
    </w:p>
    <w:p>
      <w:r>
        <w:t>Gemäss Art. 48 Abs. 1 des Regierungs- und Verwaltungsorganisationsgesetzes vom 21. März 1997 (RVOG, SR 172.010) kann der Bundesrat die Zuständigkeit zum Erlass von Rechtssätzen auf die Departemente übertragen, wobei er die Tragweite der Rechtssätze zu berücksichtigen hat. Bloss für eine Übertragung der Rechtsetzung auf Gruppen und Ämter bedarf es einer Ermächtigung in einem Bundesgesetz oder einem allgemeinverbindlichen Bundesbeschluss (Art. 48 Abs. 2 RVOG). Die Subdelegation an ein Departement ist somit ohne ausdrückliche Grundlage in einem Spezialgesetz zulässig (Urteil des BGer 2A.557/2000 vom 4. Mai 2001 E. 4b).</w:t>
      </w:r>
    </w:p>
    <w:p>
      <w:r>
        <w:rPr>
          <w:b/>
        </w:rPr>
        <w:t>E. 7.2.4</w:t>
      </w:r>
    </w:p>
    <w:p>
      <w:r>
        <w:t>Ob eine Delegationsnorm vorliegt und in welchem Rahmen dem Bundesrat die Kompetenz zur Rechtsetzung eingeräumt wurde, ist durch Auslegung zu ermitteln (Wiederkehr/Richli, Praxis des allgemeinen Verwaltungsrechts, Bd. I, 2012, Rz. 442).</w:t>
      </w:r>
    </w:p>
    <w:p>
      <w:r>
        <w:rPr>
          <w:b/>
        </w:rPr>
        <w:t>E. 7.3.1</w:t>
      </w:r>
    </w:p>
    <w:p>
      <w:r>
        <w:t>In Art. 96 KVG hat der Gesetzgeber den Bundesrat generell ermächtigt, das Gesetz zu vollziehen und die Ausführungsbestimmungen zu erlassen. Die Verordnungsgebung kann dabei nur ausführend sein und hat sich dementsprechend an den übergeordneten Rahmen zu halten. Bei der KVV und der KLV handelt es sich um die wichtigsten Ausführungsverordnungen zum KVG (vgl dazu Gebhard Eugster, Bundesgesetz über die Krankenversicherung [KVG], 2010, Art. 96 N. 1 f.). Darüber hinaus ermächtigt Art. 43 Abs. 7 KVG den Bundesrat, unter anderem Grundsätze für eine wirtschaftliche Bemessung von Tarifen und Preisen zu erlassen.</w:t>
      </w:r>
    </w:p>
    <w:p>
      <w:r>
        <w:rPr>
          <w:b/>
        </w:rPr>
        <w:t>E. 7.3.2</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[zur Publikation vorgesehenes] Urteil des BVGer C-5912/2013 vom 30. April 2015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7.3.3</w:t>
      </w:r>
    </w:p>
    <w:p>
      <w:r>
        <w:t>Zum Verfahren des APV im Rahmen der Durchführung der periodischen Überprüfung der WZW-Kriterien macht das Gesetz, insbesondere Art. 32 Abs. 2 KVG, keine Vorgaben. Auch der Botschaft zum KVG (vgl. dazu BBl 1992 I 93 ff., insbesondere S. 287) ist diesbezüglich nichts Näheres zu entnehmen. Mit der durch die Änderung der KVV und der KLV vom 1. Juli 2009 per 1. Oktober 2009 (AS 2009 4246; AS 2009 4252) eingeführten dreijährlichen Überprüfung der Aufnahmebedingungen bezweckte der Verordnungsgeber eine rasch wirksame Massnahme zur Kosteneindämmung im Bereich der Arzneimittel (vgl. BAG-Kommentar zu den Änderungen der KVV und der KLV per 1. Oktober 2009 und 1. Januar 2010, S. 3).</w:t>
      </w:r>
    </w:p>
    <w:p>
      <w:r>
        <w:rPr>
          <w:b/>
        </w:rPr>
        <w:t>E. 7.4</w:t>
      </w:r>
    </w:p>
    <w:p>
      <w:r>
        <w:t>Indem der Bundesrat in Art. 65d Abs. 3 Satz 1 KVV ausführt, dass die Zulassungsinhaberin dem BAG alle notwendigen Unterlagen zuzustellen hat, hat er die für die Zulassungsinhaberin generell bestehende allgemeine Mitwirkungspflicht (vgl. dazu Art. 13 VwVG) bei der Durchführung des APV im Rahmen der dreijährlichen Überprüfung der Wirtschaftlichkeit konkretisiert. Nichts anderes ergibt sich aus dem französischen ("Les titulaires d'autorisations doivent livrer tous les documents nécessaires à l'OFSP") und dem italienischen ("I titulari delle omologazioni forniscono all'UFSP tutti i documenti necessari") Gesetzestext. Mit Blick auf das weitreichende Ermessen, welches der Gesetzgeber dem Bundesrat eingeräumt hat, steht Art. 65d Abs. 3 Satz 1 KVV ohne Weiteres im Einklang mit der Zielsetzung des Gesetzgebers (vgl. dazu E. 7.3.2 hievor). Durch die Vollziehungsverordnung werden dem Zulassungsinhaber überdies auch keine neuen, nicht bereits im Gesetz verankerten Pflichten (vgl. dazu Art. 13 VwVG) überbunden. Die Verordnungsbestimmung hält demnach einer Gesetzmässigkeitsprüfung stand.</w:t>
      </w:r>
    </w:p>
    <w:p>
      <w:r>
        <w:rPr>
          <w:b/>
        </w:rPr>
        <w:t>E. 7.5.1</w:t>
      </w:r>
    </w:p>
    <w:p>
      <w:r>
        <w:t>Gestützt auf Art. 65d Abs. 3 Satz 2 KVV ist das Departement ermächtigt, nähere Vorschriften zum Verfahren der Überprüfung der Aufnahmebedingungen alle drei Jahre zu erlassen. Von dieser Befugnis hat der Verordnungsgeber mit dem Erlass der Vollzugs- beziehungsweise Ausführungsbestimmung in Art. 35b KLV Gebrauch gemacht. Wenn Art. 35b Abs. 4 Bst. a KLV vorsieht, dass die Zulassungsinhaberin dem BAG (bis zum 31. Mai des Überprüfungsjahres) die von einer zeichnungsberechtigten Person der zuständigen Auslandvertretung der Zulassungsinhaberin bestätigten, am 1. April des Überprüfungsjahres geltenden Fabrikabgabepreise aller Vergleichsländer nach Art. 35 Abs. 2 KLV einzureichen habe, so hat der Verordnungsgeber damit den Regelfall im Auge, wonach das entsprechende Arzneimittel im Ausland durch dasselbe Unternehmen, eine Tochtergesellschaft oder eine Lizenznehmerin vertrieben wird. Dass in Fällen, wo die Zulassungsinhaberin das Arzneimittel mit allen hiermit verbundenen Rechten und Pflichten auf eine Drittperson im Ausland übertragen hat, ein APV nicht mehr zulässig sein soll, kann entgegen der Argumentation der Beschwerdeführerin nicht angenommen werden. Wenn in Ziff. C.3.5 des SL-Handbuchs ausgeführt wird, es werde grundsätzlich mit den gleichen Arzneimitteln desselben Unternehmens, einer Tochtergesellschaft oder einer Lizenznehmerin verglichen, so wird auch darin auf den Regelfall Bezug genommen, wonach die Zulassungsinhaberin regelmässig innerhalb international verflochtener Konzernstrukturen tätig ist. Ein APV ist allerdings auch dann zulässig, wenn das Arzneimittel auf einen Rechtsnachfolger (z.B. durch Fusion oder Verkauf der Vertriebsrechte) übertragen worden ist; eine entsprechend weit ausgelegte Mitwirkungspflicht steht Art. 65d Abs. 3 Satz 1 KVV nicht entgegen. So sieht dies auch Ziff. C 3.5 des SL-Handbuchs entsprechend vor, wenn darin ausgeführt wird, dass auch mit Arzneimitteln eines Rechtsnachfolgers (z.B. durch Fusion oder Verkauf der Vertriebsrechte) verglichen werden darf.</w:t>
      </w:r>
    </w:p>
    <w:p>
      <w:r>
        <w:rPr>
          <w:b/>
        </w:rPr>
        <w:t>E. 7.5.2</w:t>
      </w:r>
    </w:p>
    <w:p>
      <w:r>
        <w:t>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abrufbar unter &lt; http://www.parlament.ch/d/organe-mitglieder/kommissionen/parlamentarische-verwaltungskontrolle/Documents/ matx-medikamente-total.pdf &gt;, abgerufen am 14.11.2016).</w:t>
      </w:r>
    </w:p>
    <w:p>
      <w:r>
        <w:rPr>
          <w:b/>
        </w:rPr>
        <w:t>E. 7.5.3</w:t>
      </w:r>
    </w:p>
    <w:p>
      <w:r>
        <w:t>Folgte man der Argumentation der Beschwerdeführerin, liefe dies letztlich allein auf eine Missbrauchskontrolle hinaus. Das Bundesgericht hat jedoch bereits unter dem damals geltenden KUVG festgehalten, dass es bei der Wirtschaftlichkeitsprüfung nicht nur um die Verhinderung von Missbräuchen gehe (vgl. BGE 108 V 130 E. 8b mit Hinweise).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Dokumentation &gt; Publikationen &gt; Jahresberichte, abgerufen am 14.11.2016; vgl. dazu auch [zur Publikation bestimmtes] Urteil des BGer 9C_737/2015 vom 13. Oktober 2016 E. 7.2; vgl. dazu auch Urteile des BVGer C-5914/2013 vom 26. September 2016 E. 7.3.2; C-6057/2014 vom 9. Mai 2016 E. 5.2.3 und C-32/2015 vom 17. August 2015 E. 6.2.3 und 6.2.4).</w:t>
      </w:r>
    </w:p>
    <w:p>
      <w:r>
        <w:rPr>
          <w:b/>
        </w:rPr>
        <w:t>E. 7.5.4</w:t>
      </w:r>
    </w:p>
    <w:p>
      <w:r>
        <w:t>Soweit die Beschwerdeführerin ihren abweichenden Standpunkt aus dem Wortlaut von Art. 35b Abs. 4 Bst. a KLV herleitet, beruht ihre Interpretation auf einer zu engen, rein grammatikalischen Auslegung der Norm (vgl. dazu auch nachstehende E. 8.3). Damit steht die Übertragung der Vertriebsrechte auf einen Rechtsnachfolger dem Einbezug des entsprechenden Arzneimittels in den APV nicht entgegen.</w:t>
      </w:r>
    </w:p>
    <w:p>
      <w:r>
        <w:rPr>
          <w:b/>
        </w:rPr>
        <w:t>E. 8</w:t>
      </w:r>
    </w:p>
    <w:p>
      <w:r>
        <w:t>Zu prüfen bleibt in einem weiteren Schritt, ob der vom BAG von der Zulassungsinhaberin geforderte Nachweis, das heisst die Einreichung einer schriftlichen Bestätigung über die Verweigerung der Preisangabe durch die ausländische, von ihr rechtlich und wirtschaftlich unabhängige Zulassungsinhaberin, rechtmässig ist, beziehungsweise ob die Vorgehensweise durch Art. 65d Abs. 3 Satz 1 KVV respektive durch Art. 35b Abs. 4 Bst. a KLV i.V.m. Art. 65d Abs. 3 Satz 2 KVV gedeckt wird.</w:t>
      </w:r>
    </w:p>
    <w:p>
      <w:r>
        <w:rPr>
          <w:b/>
        </w:rPr>
        <w:t>E. 8.1</w:t>
      </w:r>
    </w:p>
    <w:p>
      <w:r>
        <w:t>Die Beschwerdeführerin macht in diesem Zusammenhang geltend, die Vorinstanz habe in unzulässiger Weise die Referenzländer Dänemark und Niederlande beim APV nicht berücksichtigt. Zur Begründung bringt sie im Wesentlichen vor, die ihr in der angefochtenen Verfügung auferlegte Verpflichtung, die FAP in den Referenzländern mitzuteilen, sei nur möglich und zulässig, wenn sie überhaupt in der Lage sei, diese über ihre eigene Vertriebsorganisation oder vertraglich gebundene Drittunternehmen erhältlich zu machen. Treffe dies - wie im vorliegenden Fall - nicht zu, so könne sie auch keine entsprechende Pflicht treffen. Dies gelte umso mehr für die damit zusammenhängende weitere Pflicht, im Fall der Verweigerung der Bekanntgabe durch Partner eine schriftliche Bestätigung beizubringen, wie dies nur in Ziff. C.3.5 des SL-Handbuchs vorgesehen sei; dabei sei es nicht zulässig, dass in einer Verwaltungsverordnung neue Pflichten stipuliert würden. Der Beschwerdeführerin sei es zudem aus wettbewerbsrechtlichen Gründen verwehrt, das ausländische Unternehmen (C._______) um Bekanntgabe des FAP für das Arzneimittel zu ersuchen. In einem solchen Fall habe das BAG die FAP mit allen ihr zur Verfügung stehenden Mitteln erhältlich zu machen (BVGer act. 1, S. 20 f.; BVGer act. 24, S. 13 - 15). Dagegen wendet die Vorinstanz ein, aus der E-Mail-Korrespondenz zwischen ihr und der F._______ GmbH gehe hervor, dass es ihr nicht möglich gewesen sei, die FAP für das Medikament C._______ in Dänemark und in den Niederlanden erhältlich zu machen. Dementsprechend sei sie davon ausgegangen, dass es ihr auch im vorliegenden, gleich gelagerten Fall nicht möglich sei, die FAP für das Medikament B._______ in diesen Ländern in Erfahrung zu bringen. In Nachachtung ihrer Mitwirkungspflicht sei die Beschwerdeführerin verpflichtet, an der Ermittlung des erheblichen Sachverhalts mitzuwirken, solange ihr dies möglich sei. In diesem Zusammenhang sei zu beachten, dass die Beschwerdeführerin in einem gleich gelagerten Fall bereits im Jahr 2009 in der Lage gewesen sei, auf Ersuchen des BAG hin die FAP für das Arzneimittel Cibacen zu erfragen. Somit sei davon auszugehen, dass es ihr auch im vorliegenden Fall möglich gewesen wäre, die FAP für das Medikament in Dänemark und in den Niederlanden in Erfahrung zu bringen. Gemäss Ziff. C.3.5 des SL-Handbuchs habe die Zulassungsinhaberin durch Einreichung einer schriftlichen Bestätigung nachzuweisen, dass ihr die ausländische Zulassungsinhaberin die Preisangabe verweigert habe. Die Beschwerdeführerin habe allerdings keine entsprechende schriftliche Bestätigung eingereicht, wonach ihr die angeforderte Preisangabe verweigert worden sei. Somit habe das BAG den APV nicht mit allen Referenzländern vornehmen können (BVGer act. 16, S. 13 f.; BVGer act. 28, S. 11 f.).</w:t>
      </w:r>
    </w:p>
    <w:p>
      <w:r>
        <w:rPr>
          <w:b/>
        </w:rPr>
        <w:t>E. 8.2</w:t>
      </w:r>
    </w:p>
    <w:p>
      <w:r>
        <w:t>Der Zulassungsinhaberin obliegen nicht nur bei der Aufnahme, sondern auch bei der dreijährlichen Überprüfung erhebliche Mitwirkungspflichten (vgl. auch Art. 13 VwVG). So postuliert Art. 65d Abs. 3 Satz 1 KVV, dass diese dem BAG alle notwendigen Unterlagen zuzustellen hat (vgl. E. 7.4 hievor). Den Erlass näherer Vorschriften zum Verfahren der Überprüfung hat der Bundesrat an das Departement delegiert (Art. 65d Abs. 3 Satz 2 KVV). Gestützt auf diese Delegationsnorm sieht Art. 35b Abs. 4 KLV insbesondere vor, dass die Zulassungsinhaberin dem BAG die von einer zeichnungsberechtigten Person der zuständigen Auslandvertretung der Zulassungsinhaberin bestätigten, am 1. April des Überprüfungsjahres geltenden FAP aller Vergleichsländer (gemäss Art. 35 Abs. 2 KLV) einzureichen hat (Bst. a). Hinsichtlich der Durchführung des APV auferlegt Art. 35 Abs. 3 KLV der Zulassungsinhaberin ferner die Pflicht, den FAP aufgrund von Regelungen von Behörden oder Verbänden zu ermitteln und ihn von einer Behörde oder einem Verband bestätigen zu lassen.</w:t>
      </w:r>
    </w:p>
    <w:p>
      <w:r>
        <w:rPr>
          <w:b/>
        </w:rPr>
        <w:t>E. 8.3</w:t>
      </w:r>
    </w:p>
    <w:p>
      <w:r>
        <w:t>Einleitend ist nochmals darauf hinzuweisen, dass der Bundesrat dem Departement bezüglich der Preisüberprüfung weitgehende Vollzugskompetenzen zugestanden hat (vgl. Art. 65d Abs. 3 Satz 2 KVV). Hinsichtlich der hier interessierenden Frage hat das EDI mit Erlass von Art. 35b Abs. 4 KLV eine Regelung getroffen, welche grundsätzlich das Bestehen einer rechtlichen oder wirtschaftlichen Beziehung zur schweizerischen Zulassungsinhaberin voraussetzt. Wie es sich verhält, wenn diese Beziehung nicht (mehr) besteht, geht allerdings aus Art. 35b Abs. 4 KLV nicht explizit hervor.</w:t>
      </w:r>
    </w:p>
    <w:p>
      <w:r>
        <w:rPr>
          <w:b/>
        </w:rPr>
        <w:t>E. 8.3.1</w:t>
      </w:r>
    </w:p>
    <w:p>
      <w:r>
        <w:t>Es stellt sich deshalb die Frage, ob es sich diesbezüglich um eine durch Richterrecht zu füllende Gesetzeslücke oder um ein qualifiziertes Schweigen des Gesetzgebers handelt. Eine Lücke im Gesetz besteht, wenn sich eine Regelung als unvollständig erweist, weil sie jede Antwort auf die sich stellende Rechtsfrage schuldig bleibt. Hat der Gesetzgeber demgegenüber eine Rechtsfrage nicht übersehen, sondern stillschweigend - im negativen Sinn - mitentschieden (qualifiziertes Schweigen), bleibt kein Raum für richterliche Lückenfüllung (Häfelin/Müller/Uhlmann, Allgemeines Verwaltungsrecht, 7. Aufl. 2016, Rz. 202).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Ist ein lückenhaftes Gesetz zu ergänzen, gelten als Massstab die dem Gesetz selbst zugrunde liegenden Zielsetzungen und Werte (BGE 129 II 401 E. 2.3 S. 403).</w:t>
      </w:r>
    </w:p>
    <w:p>
      <w:r>
        <w:rPr>
          <w:b/>
        </w:rPr>
        <w:t>E. 8.3.2</w:t>
      </w:r>
    </w:p>
    <w:p>
      <w:r>
        <w:t>Ob eine Gesetzes- respektive Verordnungslücke oder ein qualifiziertes Schweigen vorliegt, ist durch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141 V 355 E. 3.2; 139 II 173 E. 2.1 S. 175; 139 V 95 E. 2.2 S. 98; 139 V 358 E. 3.1 S. 361).</w:t>
      </w:r>
    </w:p>
    <w:p>
      <w:r>
        <w:rPr>
          <w:b/>
        </w:rPr>
        <w:t>E. 8.3.3</w:t>
      </w:r>
    </w:p>
    <w:p>
      <w:r>
        <w:t>Mit Blick auf die systematische Auslegung von Art. 35b Abs. 4 Bst. a KLV gilt es zu beachten, dass der Bundesrat vom Gesetzgeber damit beauftragt worden ist, die Wirtschaftlichkeit der Leistungserbringung periodisch zu überprüfen (Art. 32 Abs. 2 und Art. 43 Abs. 7 KVG). Als wirtschaftlich gilt dabei ein Arzneimittel, wenn es die indizierte Heilwirkung mit möglichst geringem finanziellem Aufwand gewährleistet (Art. 65b Abs. 1 KVV, in der ab 1. Oktober 2009 geltenden Fassung; AS 2009 4245). Die Wirtschaftlichkeit wird aufgrund des Vergleichs mit anderen Arzneimitteln und der Preisgestaltung im Ausland beurteilt (Art. 65b Abs. 1 KVV). Dabei hat der Bundesrat der Zulassungsinhaberin in seiner Ausführungsverordnung (Art. 65d Abs. 3 KVV) weitreichende Mitwirkungsobliegenheiten auferlegt, indem er diese zur Einreichung aller notwendigen Unterlagen verpflichtet hat (vgl. E. 7.4 hievor). In Nachachtung dieses Grundsatzes werden in der Departementsverordnung die einzelnen Mitwirkungspflichten näher umschrieben. So hat die Zulassungsinhaberin dem BAG den FAP der Referenzländer (nach Art. 35 Abs. 2 KLV) mitzuteilen (Art. 35 Abs. 3 Satz 1 KLV), wobei sie diesen aufgrund von Regelungen von Behörden oder Verbänden ermittelt und ihn von einer Behörde oder einem Verband bestätigen lässt (Art. 35 Abs. 3 Satz 2 KLV). In Präzisierung dieser Mitwirkungs- und Preisermittlungspflicht ist die Zulassungsinhaberin nach Art. 35b Abs. 4 Bst. a KLV gehalten, dem BAG die von einer zeichnungsberechtigten Person der zuständigen Auslandvertretung bestätigten, am 1. April des Überprüfungsjahres geltenden FAP aller Vergleichsländer nach Art. 35 Abs. 2 KLV einzureichen. In systematischer Hinsicht fällt mithin auf, dass die Zulassungsinhaberin nach der Konzeption des Gesetz- und Verordnungsgebers auch im Zusammenhang mit der dreijährlichen Überprüfung der Wirtschaftlichkeit von Medikamenten weitreichende Mitwirkungspflichten treffen. Dass die FAP eines ausländischen Anbieters nur dann berücksichtigt werden könnten, wenn die inländische Zulassungsinhaberin aufgrund wirtschaftlicher und/oder rechtlicher Beziehungen zur Zulassungsinhaberin des Vergleichslandes Einfluss auf den ausländischen FAP nehmen kann, lässt sich aus der Systematik des Gesetzes respektive der Verordnungsbestimmung (KVV) nicht ableiten.</w:t>
      </w:r>
    </w:p>
    <w:p>
      <w:r>
        <w:rPr>
          <w:b/>
        </w:rPr>
        <w:t>E. 8.3.4</w:t>
      </w:r>
    </w:p>
    <w:p>
      <w:r>
        <w:t>Art. 35 Abs. 4 Bst. a KLV geht vielmehr vom Regelfall aus, wonach die Zulassungsinhaberin aufgrund ihrer wirtschaftlichen und/oder rechtlichen Verbindung (Konzernverhältnis, Lizenzvertrag etc.) weiterhin in Beziehung zur ausländischen Zulassungsinhaberin des Vergleichslandes steht. Allerdings greifen diese Mitwirkungspflichten grundsätzlich auch, wenn eine solche Beziehung nicht (mehr) besteht. Auch in diesen Fällen hat die Zulassungsinhaberin alles ihr Mögliche und Zumutbare zu unternehmen, um den APV im Vergleichsland zu ermöglichen. Eine Beschränkung der Mitwirkungspflicht ausschliesslich auf Fälle, in denen die Zulassungsinhaberin weiterhin in rechtlicher oder wirtschaftlicher Beziehung zur ausländischen Zulassungsinhaberin steht, stünde im Widerspruch zum gesetzgeberischen Zweck (vgl. dazu E. 7.5.1 - E. 7.5.3 hievor). Wenn in Ziff. C.3.5 des SL-Handbuchs für den Fall der Verweigerung der Preisangabe durch die ausländische Zulassungsinhaberin ein entsprechender schriftlicher Beleg als Nachweis gefordert wird, so ist diese Vorgehensweise - entgegen der Argumentation der Beschwerdeführerin - in jedem Fall durch die in Art. 65d Abs. 3 Satz 1 KVV verankerte weitreichende Mitwirkungspflicht abgedeckt. Eine (unzulässige) Begründung neuer Rechtspflichten auf dem Weg der Verwaltungsverordnung kann darin nicht erblickt werden. Vielmehr handelt es sich um eine Präzisierung, welche sich im Interesse des gesetzgeberischen Ziels der Kosteneindämmung, einer einheitlichen Verwaltungspraxis und der Rechtssicherheit durchaus als zulässig und sinnvoll erweist.</w:t>
      </w:r>
    </w:p>
    <w:p>
      <w:r>
        <w:rPr>
          <w:b/>
        </w:rPr>
        <w:t>E. 8.3.5</w:t>
      </w:r>
    </w:p>
    <w:p>
      <w:r>
        <w:t>Wenn die Beschwerdeführerin in diesem Zusammenhang pauschal eine Unmöglichkeit respektive Unzumutbarkeit der Mitwirkung geltend macht, ohne substanziiert darzulegen, welche Nachteile eine solche Mitwirkung für sie haben soll, so kann sie dem BAG nicht mit Recht eine Verletzung der Abklärungspflicht anlasten. Insbesondere hat die Beschwerdeführerin nicht substanziiert dargelegt, inwiefern die im Rahmen der Mitwirkungspflicht gebotene Anfrage eines FAP bereits zu wettbewerbsrechtlichen Problemen führen soll. Die Argumentation der Beschwerdeführerin ist umso weniger nachvollziehbar, als sie im Zusammenhang mit der ausserordentlichen Überprüfung des Jahres 2009 ohne Weiteres imstande war, die entsprechenden Daten von der niederländischen Zulassungsinhaberin in Erfahrung zu bringen (vgl. Beilage 2 zu BVGer act. 16). Weshalb dies hier nicht möglich sein soll, wurde von ihr nicht substanziiert begründet.</w:t>
      </w:r>
    </w:p>
    <w:p>
      <w:r>
        <w:rPr>
          <w:b/>
        </w:rPr>
        <w:t>E. 8.3.6</w:t>
      </w:r>
    </w:p>
    <w:p>
      <w:r>
        <w:t>Dass die Vorinstanz unter diesen Umständen den APV auf die vier Referenzländer Deutschland, Österreich, Frankreich und Grossbritannien beschränkt hat, ohne die FAP des Präparates in Dänemark und in den Niederlanden zu berücksichtigen, ist demnach nicht zu beanstanden (vgl. dazu auch Ziff. C.3.1 des SL-Handbuchs: "in der Regel").</w:t>
      </w:r>
    </w:p>
    <w:p>
      <w:r>
        <w:rPr>
          <w:b/>
        </w:rPr>
        <w:t>E. 9.1</w:t>
      </w:r>
    </w:p>
    <w:p>
      <w:r>
        <w:t>Zusammenfassend ergibt sich, dass die Durchführung eines TQV im vorliegenden Fall unbestrittenermassen nicht möglich und daher ausgeschlossen ist. Die Wirtschaftlichkeitsprüfung durfte daher ausschliesslich auf der Grundlage des APV durchgeführt werden. Die Vornahme des APV setzt dabei nicht zwingend voraus, dass die ausländische Zulassungsinhaberin nach wie vor wirtschaftlich (z.B. als Konzerntochter) oder rechtlich (z.B. als Lizenznehmerin) mit der schweizerischen Zulassungsinhaberin verbunden ist. Auch im Rahmen der dreijährlichen Überprüfung trifft die Zulassungsinhaberin eine erhebliche Mitwirkungspflicht. Das BAG darf von der schweizerischen Zulassungsinhaberin insbesondere verlangen, dass diese von im Ausland domizilierten, wirtschaftlich von ihr unabhängigen Unternehmen Angaben zum FAP im Ausland erhältlich macht. Die Mitwirkungspflicht umfasst auch die Obliegenheit der schweizerischen Zulassungsinhaberin, einen schriftlichen Beleg für die geltend gemachte Verweigerung der Preisangaben seitens der ausländischen Zulassungsinhaberin zu fordern. Falls der APV mit einem oder mehreren Referenzländern nicht durchgeführt werden kann, darf das BAG beim APV auch auf das Ergebnis aus dem Vergleich mit den vier weiteren Referenzländern (hier: Deutschland, Österreich, Frankreich und Grossbritannien) abstellen. Aus den dargelegten Gründen ist die angefochtene Verfügung vom 5. Dezember 2012 zu bestätigen und die Beschwerde abzuweisen.</w:t>
      </w:r>
    </w:p>
    <w:p>
      <w:r>
        <w:rPr>
          <w:b/>
        </w:rPr>
        <w:t>E. 9.2</w:t>
      </w:r>
    </w:p>
    <w:p>
      <w:r>
        <w:t>Abschliessend ist darauf hinzuweisen, dass der Umstand, dass das BAG die Preissenkung vorliegend - in Verletzung von Art. 65d Abs. 2 KVV - (erst) per 1. Januar 2013 verfügt hat, keine Rechtsfolgen zeitigt, zumal es sich hier nur um eine Ordnungsvorschrift handeln kann, die verzögerte Anordnung faktisch der Beschwerdeführerin zugutekommt und von dieser auch nicht gerügt worden ist.</w:t>
      </w:r>
    </w:p>
    <w:p>
      <w:r>
        <w:rPr>
          <w:b/>
        </w:rPr>
        <w:t>E. 10</w:t>
      </w:r>
    </w:p>
    <w:p>
      <w:r>
        <w:t>Zu befinden bleibt über die Verfahrenskosten und eine allfällige Parteientschädigung.</w:t>
      </w:r>
    </w:p>
    <w:p>
      <w:r>
        <w:rPr>
          <w:b/>
        </w:rPr>
        <w:t>E. 10.1</w:t>
      </w:r>
    </w:p>
    <w:p>
      <w:r>
        <w:t>Die Verfahrenskosten werden in der Regel der unterliegenden Partei auferlegt (Art. 63 Abs. 1 VwVG). Bei diesem Ausgang des Verfahrens sind der Beschwerdeführerin die Verfahrenskosten, welche vorliegend auf Fr. 4'000.- festzulegen sind, aufzuerlegen und aus dem bereits geleisteten Kostenvorschuss in derselben Höhe zu entnehmen.</w:t>
      </w:r>
    </w:p>
    <w:p>
      <w:r>
        <w:rPr>
          <w:b/>
        </w:rPr>
        <w:t>E. 10.2</w:t>
      </w:r>
    </w:p>
    <w:p>
      <w:r>
        <w:t>Die Beschwerdeinstanz kann der ganz oder teilweise obsiegenden Partei von Amtes wegen oder auf Begehren eine Entschädigung für ihr erwachsene notwendige und verhältnismässige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(vgl. Art. 7 Abs. 3 VGKE).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