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C-356/2010 vom 6. September 2010</w:t>
      </w:r>
    </w:p>
    <w:p>
      <w:r>
        <w:t>Bundesverwaltungsgericht, 2010-09-06, FR</w:t>
      </w:r>
    </w:p>
    <w:p>
      <w:r>
        <w:rPr>
          <w:b/>
        </w:rPr>
        <w:t xml:space="preserve">Quelle: </w:t>
      </w:r>
      <w:r>
        <w:t>https://mcp.opencaselaw.ch/entscheid/bvger_C-356_2010</w:t>
      </w:r>
    </w:p>
    <w:p>
      <w:r>
        <w:t>FR: TAF C-356/2010 du 6 septembre 2010</w:t>
      </w:r>
    </w:p>
    <w:p>
      <w:r>
        <w:t>IT: TAF C-356/2010 del 6 settembre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C._______ est mineure. Elle n'a ainsi pas la capacité d'ester seule en justice (cf. let. E supra), à moins d'être représentée par son représentant légal (art. 11 ss et 304 CC). En l'espèce, cette question n'est cependant pas déterminante, dans la mesure où A._______ et B._______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135 II 1 consid. 1.1).</w:t>
      </w:r>
    </w:p>
    <w:p>
      <w:r>
        <w:rPr>
          <w:b/>
        </w:rPr>
        <w:t>E. 4</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sont effectivement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de la loi fédérale du 16 décembre 2005 sur les étrangers (LEtr, RS 142.20). Aussi la pratique et la jurisprudence appliquées à cette dernière disposition peuvent-elles être reprises en l'espèce (sur les détails de cette problématique, cf. ATAF 2009/27 consid. 5 p. 343 ss).</w:t>
      </w:r>
    </w:p>
    <w:p>
      <w:r>
        <w:rPr>
          <w:b/>
        </w:rPr>
        <w:t>E. 6</w:t>
      </w:r>
    </w:p>
    <w:p>
      <w:r>
        <w:t>L'exigence des moyens de subsistance suffisants posée à l'art. 5 par. 1 let. c du code frontières Schengen y est définie à l'art. 5 par. 3, lequel dispose que l'appréciation des moyens de subsistance peut se fonder sur la possession d'argent liquide, de chèques de voyage et de cartes de crédit; de même, lorsqu'elles sont prévues par le droit national, les déclarations de prise en charge et les lettres de garantie peuvent aussi constituer une preuve de moyens de subsistance suffisants. Le droit suisse des étrangers prévoit expressément de telles garanties aux art. 2 al. 2 et 7 à 11 OEV. Enfin, en référence à l'art. 5 du code frontières Schengen, les ICC définissent quels justificatifs sont propres à démontrer l'existence de moyens financiers suffisants (C 326 p. 11).</w:t>
      </w:r>
    </w:p>
    <w:p>
      <w:r>
        <w:rPr>
          <w:b/>
        </w:rPr>
        <w:t>E. 7</w:t>
      </w:r>
    </w:p>
    <w:p>
      <w:r>
        <w:t>Le Règlement (CE) no 539/2001 du Conseil du 15 mars 2001 (JO L 81 du 21 mars 2001, p. 1-7) différencie, en son art. 1 par. 1 et 2, les ressortissants des Etats tiers selon qu'ils sont soumis ou non à l'obligation du visa. En tant que ressortissante du Kosovo, D._______ est soumise à l'obligation du visa.</w:t>
      </w:r>
    </w:p>
    <w:p>
      <w:r>
        <w:rPr>
          <w:b/>
        </w:rPr>
        <w:t>E. 8.1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8.2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8.3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9</w:t>
      </w:r>
    </w:p>
    <w:p>
      <w:r>
        <w:t>A ce sujet, il faut prendre en considération la qualité de vie et les conditions économiques et sociales difficiles que connaît l'ensemble de la population du Kosovo (pays dont le taux de chômage s'élevait à 43% et dont le PIB par habitant était de EUR 1'759.- en 2009 [source: site internet du Ministère français des affaires étrangères &gt; France-Diplomatie &gt; Pays-zones géo &gt; Kosovo ; mis à jour le 25 mai 2010]).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 ce qui est le cas en l'espèce. Toutefois, la seule situation dans le pays d'origine de la requérante ne suffit pas à conclure à l'absence de garantie quant à son retour à l'issue du séjour, toutes les particularités du cas d'espèce devant être prises en considération.</w:t>
      </w:r>
    </w:p>
    <w:p>
      <w:r>
        <w:rPr>
          <w:b/>
        </w:rPr>
        <w:t>E. 10</w:t>
      </w:r>
    </w:p>
    <w:p>
      <w:r>
        <w:t>En l'occurrence, sans pour autant minimiser les raisons d'ordre affectif qui motivent sa demande, le Tribunal ne saurait admettre, au vu de l'ensemble des éléments du dossier, que le retour de D._______ au Kosovo au terme de l'autorisation demandée puisse être considéré comme suffisamment garanti. Le fait que la prénommée vive avec sa fille aînée, âgée de 21 ans, dans sa patrie est certes un élément qui parle en faveur de sa sortie de Suisse à la fin du séjour envisagé. A ce propos, il sied toutefois de constater, au vu de l'expérience générale, qu'un tel lien est parfois insuffisant pour dissuader une personne de prolonger son séjour en Suisse, d'autant plus que l'intéressée a déjà vécu dans ce pays, durant près de deux ans et demi, dans le cadre de sa demande d'asile et que sa fille aînée est majeure et donc parfaitement en mesure de vivre en toute indépendance. Dans ces circonstances, la requérante, divorcée du père de ses enfants, serait à même de se créer une nouvelle existence hors de sa patrie, en particulier en Suisse, où résident ses trois autres enfants, sans que cela n'entraîne pour elle de difficultés sur le plan familial. En outre, même si l'invitée travaille comme coiffeuse indépendante depuis 2005 (cf. extrait du registre du commerce du Kosovo produit à l'appui de la demande du 12 août 2009), cela ne suffit pas non plus à assurer son départ du territoire helvétique au terme du séjour projeté, dans la mesure où l'on ne décèle aucun élément dans le dossier qui permette de conclure que sa situation financière se trouverait péjorée si elle devait, cas échéant, quitter son activité au Kosovo pour prendre un emploi en Suisse. Au contraire, il sied de constater que, par écrit du 28 septembre 2007, l'intéressée a consenti à ce que ses trois enfants cadets se rendent chez leur père en Suisse, faute de moyens pour la nourriture et leur entretien. A cela s'ajoute que si, pour la période du 28 février 2009 au 16 juin 2009, le compte bancaire de l'invitée a été crédité d'un seul montant de EUR 1'985.50, c'est uniquement grâce au versement effectué en sa faveur par son ex-époux moins de deux mois avant le dépôt de sa demande de visa Schengen du 12 août 2009 (cf. extrait de compte bancaire du 25 juin 2009 produit à l'appui de ladite demande). Dans ce contexte et compte tenu du niveau de vie sensiblement plus élevé que présente la Suisse, les autorités helvétiques ne peuvent donc totalement exclure que la requérante ne soit tentée, une fois entrée en ce pays, de s'y installer durablement auprès de ses trois enfants cadets, malgré les assurances contraires qui ont été données dans le cadre du recours. Il ne faut pas perdre de vue en effet que cette différence de niveau de vie peut s'avérer déterminante lorsque est prise la décision de quitter son pays. Cette crainte apparaît d'autant plus fondée qu'il ressort des renseignements fournis par le Bureau des étrangers de la commune d'Orbe que F._______ s'occuperait du salon de coiffure en l'absence de sa mère (cf. courrier du 4 novembre 2009), alors que les recourants ont affirmé que la prénommée était étudiante (cf. déterminations du 19 mars 2010), ce qui constitue un facteur d'incertitude supplémentaire quant au réel but du séjour en Suisse de l'intéressée. Au vu de ce qui précède, la question de savoir si l'invitée disposerait des moyens suffisants pour subvenir à ses besoins pendant son séjour sur territoire helvétique peut rester indécise, étant précisé qu'il existe un sérieux doute à cet égard, dans la mesure où, le 8 juillet 2009, le Bureau des étrangers d'Orbe a mentionné sur la déclaration de prise en charge signée par l'invitante en date du 7 juillet 2009, que cette dernière n'était pas en mesure de respecter ses engagements financiers.</w:t>
      </w:r>
    </w:p>
    <w:p>
      <w:r>
        <w:rPr>
          <w:b/>
        </w:rPr>
        <w:t>E. 11</w:t>
      </w:r>
    </w:p>
    <w:p>
      <w:r>
        <w:t>A supposer que les recourants invoquent implicitement une violation de l'art. 8 de la convention du 4 novembre 1950 de sauvegarde des droits de l'homme et des libertés fondamentales (CEDH, RS 0.101) dans leur pourvoi du 19 janvier 2010, il convient de relever qu'un refus d'autorisation d'entrée en Suisse prononcé à l'encontre de l'intéressée ne porte pas atteinte au droit au respect de la vie privée et familiale consacré par cette disposition et par l'art. 13 de la Constitution fédérale de la Confédération suisse du 18 avril 1999 (Cst., RS 101), norme constitutionnelle qui ne confère pas des droits plus étendus en matière de police des étrangers que ceux qui sont garantis par la norme conventionnelle précitée (cf. ATF 130 II 281 consid. 3 p. 284ss ; ATAF 2007/45 consid. 5.3 p. 591s., et la jurisprudence citée). En effet, les dispositions précitées, qui visent principalement à protéger les relations existant entre époux et entre parents en ligne directe (en particulier, entre « époux » et « parents et enfants mineurs »), ne confèrent pas un droit d'entrer (respectivement de réaliser sa vie familiale) dans un pays donné (cf. ATF 130 II 281 consid. 3.1 p. 285s., et réf. cit.; cf. Stephan Breitenmoser, in: Ehrenzeller / Mastronardi / Schweizer / Vallender, Die schweizerische Bundesverfassung, Kommentar, Zurich/Bâle/Genève 2002, ad art. 13 Cst., n. 25 ; Arthur Haefliger/Frank Schürmann, Die Europäische Menschenrechts-konvention und die Schweiz, Die Bedeutung der Konvention für die schweizerische Rechtspraxis, Berne 1999, p. 261). En principe, une violation de ces normes ne peut donc être admise que si les membres d'une même famille n'ont - durablement ou, à tout le moins, pendant une période prolongée - aucune possibilité de se rencontrer dans un pays autre que la Suisse. En l'occurrence, rien ne permet de penser que les enfants de l'invitée se trouveraient durablement (pour des motifs médicaux, par exemple) dans l'impossibilité de rencontrer leur mère ailleurs qu'en Suisse (notamment au Kosovo), nonobstant les inconvénients d'ordre pratique ou financier que cela pourrait engendrer. Les recourants n'allèguent pas qu'un refus d'autorisation d'entrée prononcé in casu par les autorités helvétiques aurait pour conséquence d'empêcher l'intéressée de maintenir des liens avec ses enfants en Suisse.</w:t>
      </w:r>
    </w:p>
    <w:p>
      <w:r>
        <w:rPr>
          <w:b/>
        </w:rPr>
        <w:t>E. 12</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(cf. ATAF 2009/27 consid. 9 p. 347) et ne suffisent pas non plus à garantir que son départ interviendra dans les délais prévus.</w:t>
      </w:r>
    </w:p>
    <w:p>
      <w:r>
        <w:rPr>
          <w:b/>
        </w:rPr>
        <w:t>E. 13</w:t>
      </w:r>
    </w:p>
    <w:p>
      <w:r>
        <w:t>Au vu de l'ensemble des éléments de la cause, le Tribunal estime qu'il ne saurait être reproché à l'ODM d'avoir considéré que le départ de D._______ à l'échéance du visa requis n'était pas suffisamment assuré et, partant, d'avoir refusé la délivrance d'une autorisation d'entrée dans l'Espace Schengen en sa faveur.</w:t>
      </w:r>
    </w:p>
    <w:p>
      <w:r>
        <w:rPr>
          <w:b/>
        </w:rPr>
        <w:t>E. 14</w:t>
      </w:r>
    </w:p>
    <w:p>
      <w:r>
        <w:t>Il ressort de ce qui précède que la décision de l'ODM du 8 décembre 2009 est conforme au droit.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