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C-356/2008 vom 24. August 2009</w:t>
      </w:r>
    </w:p>
    <w:p>
      <w:r>
        <w:t>Bundesverwaltungsgericht, 2009-08-24, DE</w:t>
      </w:r>
    </w:p>
    <w:p>
      <w:r>
        <w:rPr>
          <w:b/>
        </w:rPr>
        <w:t xml:space="preserve">Quelle: </w:t>
      </w:r>
      <w:r>
        <w:t>https://mcp.opencaselaw.ch/entscheid/bvger_C-356_2008</w:t>
      </w:r>
    </w:p>
    <w:p>
      <w:r>
        <w:t>FR: TAF C-356/2008 du 24 août 2009</w:t>
      </w:r>
    </w:p>
    <w:p>
      <w:r>
        <w:t>IT: TAF C-356/2008 del 24 agosto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Augsgleichskasse.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Gemäss bundesgerichtlicher Rechtsprechung sind im Beschwerdeverfahren grundsätzlich für die Bestimmung des rechtserheblichen Sachverhalts die tatsächlichen Verhältnisse zur Zeit des Erlasses des strittigen Entscheids, vorliegend demnach der 4. Dezember 2007, massgebend (BGE 132 V 368 E. 6.1 mit Hinweisen). Weiter sind in zeitlicher Hinsicht grundsätzlich diejenigen Rechtssätze massgebend, die bei der Erfüllung des zu Rechtsfolgen führenden Tatbestandes Geltung hatten (BGE 130 V 329). Für das vorliegende Verfahren ist deshalb insbesondere Art. 2 AHVG (freiwillige Versicherung) in der Fassung vom 23. Juni 2000, die seit 1. Januar 2001 in Kraft ist, anwendbar.</w:t>
      </w:r>
    </w:p>
    <w:p>
      <w:r>
        <w:rPr>
          <w:b/>
        </w:rPr>
        <w:t>E. 3</w:t>
      </w:r>
    </w:p>
    <w:p>
      <w:r>
        <w:t>Vorliegend ist strittig und vom Bundesverwaltungsgericht zu prüfen, ob die SAK dem Beschwerdeführer zu Recht die Aufnahme in die freiwillige Versicherung verweigert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3.1.1</w:t>
      </w:r>
    </w:p>
    <w:p>
      <w:r>
        <w:t>Gemäss Art. 7 Abs. 1 der Verordnung über die freiwillige Alters-, Hinterlassenen- und Invalidenversicherung vom 26. Mai 1961 (VFV, SR 831.111) können Personen der freiwilligen Versicherung beitreten, welche die Versicherungsvoraussetzungen nach Art. 2 Abs. 1 AHVG erfüllen, einschliesslich jener, die für einen Teil ihres Einkommens der obligatorischen Versicherung unterstellt sind.</w:t>
      </w:r>
    </w:p>
    <w:p>
      <w:r>
        <w:rPr>
          <w:b/>
        </w:rPr>
        <w:t>E. 3.1.2</w:t>
      </w:r>
    </w:p>
    <w:p>
      <w:r>
        <w:t>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3.2</w:t>
      </w:r>
    </w:p>
    <w:p>
      <w:r>
        <w:t>Der Beschwerdeführer machte im Wesentlichen geltend, es sei stossend, dass er als Sohn eines Angestellten des Eidgenössischen Departements für auswärtige Angelegenheiten (nachfolgend: EDA), welcher der Versetzungspflicht unterliege und selber obligatorisch versichert sei, sich weder der freiwilligen noch der obligatorischen Alters-, Hinterlassenen- und Invalidenversicherung anschliessen könne. Er habe aufgrund der kurzen Aufenthaltsdauer in der Schweiz keine Möglichkeit gehabt, während fünf Jahren der obligatorischen Versicherung anzugehören.</w:t>
      </w:r>
    </w:p>
    <w:p>
      <w:r>
        <w:rPr>
          <w:b/>
        </w:rPr>
        <w:t>E. 3.3</w:t>
      </w:r>
    </w:p>
    <w:p>
      <w:r>
        <w:t>Die SAK führte aus, der Beschwerdeführer erfülle die Beitrittvoraussetzungen nicht, weshalb ein Beitritt ausgeschlossen sei. Ob diese Regelung des AHVG angemessen und mit der Rechtsgleichheit vereinbar sei, könne sie nicht prüfen, da Bundesgesetze anzuwenden seien. Eine allfällige Änderung der Beitrittsvoraussetzungen und somit eine Anpassung der gesetzlichen Grundlagen obliege dem Gesetzgeber, weshalb sie sich nicht dazu äussern könne.</w:t>
      </w:r>
    </w:p>
    <w:p>
      <w:r>
        <w:rPr>
          <w:b/>
        </w:rPr>
        <w:t>E. 3.4</w:t>
      </w:r>
    </w:p>
    <w:p>
      <w:r>
        <w:t>Unbestritten ist vorliegend, dass der Beschwerdeführer Schweizerbürger ist und in B._______ lebt, weshalb er - sofern die weiteren Beitrittsvoraussetzungen vorliegen - grundsätzlich der freiwilligen Versicherung beitreten könnte. Ferner steht fest, dass er lediglich in den Jahren 1995 bis 1998 in der Schweiz gelebt hat, als sein Vater in der Zentrale in Bern gearbeitet hatte. Eine fünfjährige Versicherungsdauer in der obligatorischen Versicherung zufolge Wohnsitzes in der Schweiz kann der Beschwerdeführer somit nicht vorweisen. Da der Beschwerdeführer letztmals im Jahr 1998 in der Schweiz Wohnsitz hatte, ist im Übrigen - wie die SAK ausführt - auch die Beitrittsfrist bereits verstrichen. Mit Bezug auf die obligatorische Versicherung hat das Bundesgericht in einer Reihe von Entscheidungen, welche die Versicherungseigenschaft der Ehefrau eines Versicherten betrafen, den Grundsatz entwickelt und verschiedentlich bestätigt, dass die Versicherungsvoraussetzungen für jede Person einzeln zu beurteilen sind. Auch in der Lehre wird bezüglich Unterstellung unter die obligatorische Versicherung gemäss Art. 1 AHVG festgehalten, die Versicherteneigenschaft sei persönlich, namentlich finde keine Übertragung der Versicherteneigenschaft des Ehemannes auf die Ehefrau statt; im Rahmen eines Familienverbandes müsse die Situation jedes einzelnen Familienmitglieds gesondert betrachtet werden. Die freiwillige Versicherung folgt grundsätzlich denselben Prinzipien wie die obligatorische Versicherung (vgl. SVR 11/2004, AHV Nr. 17 E. 4.2 mit weiteren Hinweisen). Das vom Beschwerdeführer geltend gemachte Mit- beziehungsweise Familienversicherungsprinzip lässt sich somit weder aus einer die freiwilligen Versicherung betreffenden Norm noch aus deren Verschiedenheit im Vergleich zur obligatorischen Versicherung ableiten. Dementsprechend ist vom Grundsatz der Individualversicherung auszugehen, und der Beschwerdeführer kann aus dem Umstand, dass sein Vater aufgrund seiner Anstellung durch das EDA obligatorisch versichert ist, keine Rechte ableiten.</w:t>
      </w:r>
    </w:p>
    <w:p>
      <w:r>
        <w:rPr>
          <w:b/>
        </w:rPr>
        <w:t>E. 3.5</w:t>
      </w:r>
    </w:p>
    <w:p>
      <w:r>
        <w:t>Zusammenfassend ist festzuhalten, dass der Beschwerdeführer die Beitrittsvoraussetzungen nicht erfüllt und auch aus der Versicherteneigenschaft seines Vaters keine Rechte ableiten kann. Das Beitrittsgesuch des Beschwerdeführers wurde somit zu Recht abgewiesen, weshalb die angefochtene Verfügung zu bestätigen und die Beschwerde abzuweisen ist.</w:t>
      </w:r>
    </w:p>
    <w:p>
      <w:r>
        <w:rPr>
          <w:b/>
        </w:rPr>
        <w:t>E. 4.1</w:t>
      </w:r>
    </w:p>
    <w:p>
      <w:r>
        <w:t>Das Verfahren ist für die Parteien kostenlos (Art. 85bis Abs. 2 AHVG), so dass keine Verfahrenskosten zu erheben sind.</w:t>
      </w:r>
    </w:p>
    <w:p>
      <w:r>
        <w:rPr>
          <w:b/>
        </w:rPr>
        <w:t>E. 4.2</w:t>
      </w:r>
    </w:p>
    <w:p>
      <w:r>
        <w:t>Bei diesem Ausgang des Verfahrens ist keine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