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C-3568/2008 vom 13. Mai 2009</w:t>
      </w:r>
    </w:p>
    <w:p>
      <w:r>
        <w:t>Bundesverwaltungsgericht, 2009-05-13, DE</w:t>
      </w:r>
    </w:p>
    <w:p>
      <w:r>
        <w:rPr>
          <w:b/>
        </w:rPr>
        <w:t xml:space="preserve">Quelle: </w:t>
      </w:r>
      <w:r>
        <w:t>https://mcp.opencaselaw.ch/entscheid/bvger_C-3568_2008</w:t>
      </w:r>
    </w:p>
    <w:p>
      <w:r>
        <w:t>FR: TAF C-3568/2008 du 13 mai 2009</w:t>
      </w:r>
    </w:p>
    <w:p>
      <w:r>
        <w:t>IT: TAF C-3568/2008 del 13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Ausstellung eines Einreisevisums verweigert wird. In dieser rechtlichen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Dominikanischen Republik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ist die Dominikanische Republik aus der Kategorie der Risikoländer herausgefallen und wird von den anerkannten Ratingagenturen als "B-Land" eingestuft. Nach einer Senkung der Arbeitslosigkeit im Jahr 2005 ist die Arbeitslosenquote im Jahr 2006 nochmals leicht auf knapp 16,2% gesunken. Insgesamt wächst allerdings die Kritik der Bevölkerung, da das neue Wachstum bisher nicht ausreicht, um neue Arbeitsplätze zu schaffen (nur 286'000 Arbeitsplätze im Zeitraum 2004 - 2006) bzw. keine spürbare Verbesserung in den Lebensbedingungen der bedürftigen Schichten gebracht hat. Die Regierung hat zwar mittlerweile mit verschiedenen Massnahmen auf diese Kritik reagiert; dennoch ist eine Entlastung auf dem Arbeitsmarkt mittelfristig nicht zu erwarten (zur Lageanalyse vgl. auch Urteile des Bundesverwaltungsgerichts C-581/2008 vom 27. März 2009 E. 7.3 und C-4517/2007 vom 18. Oktober 2008 E. 5.1 mit Quellenangaben). Vor dem aufgezeigten wirtschaftlichen Hintergrund ist - vor allem in der jüngeren Bevölkerung -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27-jährige, ledige und kinderlose Frau, die in der Provinz Dajabon im äussersten Nordwesten der Dominikanischen Republik lebt. Über ihre familiären Verhältnisse ist nur gerade bekannt, dass in ihrer unmittelbaren Umgebung noch Familienangehörige unbekannten Verwandtschaftsgrades leben sollen (so aus den schriftlichen Auskünften des Beschwerdeführers gegenüber dem Migrationsdienst des Kantons Basel-Stadt zu schliessen). Es versteht sich allerdings von selbst, dass ein solcher, nicht weiter erläuterter Hinweis auf die Existenz Verwandter nicht schon auf persönliche oder familiäre Verpflichtungen der Gesuchstellerin schliessen lässt, welche wiederum die Prognose einer fristgerechten Wiederausreise nach einem Besuchsaufenthalt begünstigen könnten.</w:t>
      </w:r>
    </w:p>
    <w:p>
      <w:r>
        <w:rPr>
          <w:b/>
        </w:rPr>
        <w:t>E. 8.2</w:t>
      </w:r>
    </w:p>
    <w:p>
      <w:r>
        <w:t>Die Gesuchstellerin geht keiner Erwerbstätigkeit nach. Der Beschwerdeführer gab in diesem Zusammenhang gegenüber dem Migrationsdienst des Kantons Basel-Stadt an, sein Gast studiere. Über die Studienrichtung und weitere Details wie beispielsweise das voraussichtliche Ende des Studiums äusserte er sich hingegen nicht. Auf die Frage, mit was sich der Gast nach seiner Rückkehr im Heimatland beschäftigen werde, vermerkte er: "Lehre, weiter studieren". Die Gesuchstellerin selbst liess in ihrem persönlichen Visumsantrag die Rubriken "Berufliche Tätigkeit" und "Arbeitgeber, Schule oder Universität" offen. Die solchermassen spärlichen Angaben auch in diesem Bereich lassen kein Bild darüber zu, in welchen wirtschaftlichen Verhältnissen die Gesuchstellerin lebt und welche (wirtschaftlichen und beruflichen) Perspektiven sie nach einem Abschluss ihrer Ausbildung voraussichtlich haben wird.</w:t>
      </w:r>
    </w:p>
    <w:p>
      <w:r>
        <w:rPr>
          <w:b/>
        </w:rPr>
        <w:t>E. 8.3</w:t>
      </w:r>
    </w:p>
    <w:p>
      <w:r>
        <w:t>Die Vorinstanz durfte vor dem allgemeinen und persönlichen Hintergrund demnach davon ausgehen, dass keine hinreichende Gewähr für eine fristgerechte und anstandslose Wiederausreise der Gesuchstellerin nach einem Besuchsaufenthalt besteht. An dieser Beurteilung vermag die Zusicherung des Beschwerdeführers nichts zu ändern. Diese ist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(anstelle vieler vgl. Urteile des Bundesverwaltungsgerichts C-204/2008 vom 5. März 2009 E. 8.4 und C-3243/2007 vom 10. Juni 2008 E. 5.5). Kommt hinzu, dass der Beschwerdeführer die Gesuchstellerin, bei der es sich um die Nichte seiner (namentlich nicht genannten) Freundin handelt, bisher erst zweimal anlässlich von Ferienaufenthalten in der Dominikanischen Republik getroffen hat. Unter diesen Umständen kann er kaum für sich in Anspruch nehmen, die Vorstellungen und Wünsche seines Gastes über dessen mittel- und längerfristige Lebensplanung genau zu kennen und einschätzen zu können.</w:t>
      </w:r>
    </w:p>
    <w:p>
      <w:r>
        <w:rPr>
          <w:b/>
        </w:rPr>
        <w:t>E. 9</w:t>
      </w:r>
    </w:p>
    <w:p>
      <w:r>
        <w:t>Aus vorstehenden Erwägungen folgt, dass die angefochtene Verfügung im Lichte von Art. 49 VwVG nicht zu beanstanden ist. Die Beschwerde ist daher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