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C-354/2010 vom 29. September 2010</w:t>
      </w:r>
    </w:p>
    <w:p>
      <w:r>
        <w:t>Bundesverwaltungsgericht, 2010-09-29, FR</w:t>
      </w:r>
    </w:p>
    <w:p>
      <w:r>
        <w:rPr>
          <w:b/>
        </w:rPr>
        <w:t xml:space="preserve">Quelle: </w:t>
      </w:r>
      <w:r>
        <w:t>https://mcp.opencaselaw.ch/entscheid/bvger_C-354_2010</w:t>
      </w:r>
    </w:p>
    <w:p>
      <w:r>
        <w:t>FR: TAF C-354/2010 du 29 septembre 2010</w:t>
      </w:r>
    </w:p>
    <w:p>
      <w:r>
        <w:t>IT: TAF C-354/2010 del 29 settembre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procédure ouverte en matière d'exemption aux mesures de limitation au sens de l'art. 13 let. f OLE a été initiée avant l'entrée en vigueur de la LEtr, l'ancien droit (matériel) est applicable à la présente cause, en vertu de la réglementation transitoire de l'art. 126 al. 1 LEtr. En revanche, conformément à l'art. 126 al. 2 LEtr, la procédure est régie par le nouveau droit.</w:t>
      </w:r>
    </w:p>
    <w:p>
      <w:r>
        <w:rPr>
          <w:b/>
        </w:rPr>
        <w:t>E. 1.3</w:t>
      </w:r>
    </w:p>
    <w:p>
      <w:r>
        <w:t>X._______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[ATF 129 II 215]).</w:t>
      </w:r>
    </w:p>
    <w:p>
      <w:r>
        <w:rPr>
          <w:b/>
        </w:rPr>
        <w:t>E. 3.1</w:t>
      </w:r>
    </w:p>
    <w:p>
      <w:r>
        <w:t>Ne sont pas comptés dans les nombres maximums les étrangers qui obtiennent une autorisation de séjour dans un cas personnel d'extrême gravité ou en raison de considérations de politique générale (art. 13 let. f OLE).</w:t>
      </w:r>
    </w:p>
    <w:p>
      <w:r>
        <w:rPr>
          <w:b/>
        </w:rPr>
        <w:t>E. 3.2</w:t>
      </w:r>
    </w:p>
    <w:p>
      <w:r>
        <w:t>A ce propos, il sied de relever que ni l'ODM, ni a fortiori le TAF, ne sont liés par l'appréciation émise par les autorités cantonales compétentes en matière de droit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cf. ATAF 2007/16 consid. 4.3, et la jurisprudence et doctrine citées) et au TAF, en vertu de l'effet dévolutif du recours (cf. art. 54 PA). Il s'ensuit que la recourante ne peut tirer aucun avantage du fait que le canton de Vaud s'est déclaré favorable à la régularisation de ses conditions de séjour.</w:t>
      </w:r>
    </w:p>
    <w:p>
      <w:r>
        <w:rPr>
          <w:b/>
        </w:rPr>
        <w:t>E. 4</w:t>
      </w:r>
    </w:p>
    <w:p>
      <w:r>
        <w:t>Dans son recours, X._______ invoque, à titre subsidiaire, l'application de l'art. 36 OLE pour le règlement de ses conditions de séjour. Outre le fait que cet article sort du cadre du litige déterminé par la décision querellée, à savoir l'application de l'art. 13 let. f OLE, il est à noter que l'art. 36 OLE ne concerne que des étrangers n'exerçant pas d'activité lucrative, ce qui ne correspond pas à la situation de l'intéressée, puisque cette dernière a toujours signalé sa volonté de trouver un emploi et d'exercer une activité lucrative. Au demeurant, il ressort de la jurisprudence constante que les « raisons importantes » mentionnées dans l'art. 36 OLE sont à interpréter, lorsqu'un séjour de longue durée à titre humanitaire est envisagé, en s'inspirant des critères développés par la pratique et la jurisprudence relatives aux cas personnels d'extrême gravité au sens de l'art. 13 let. f OLE (cf. parmi d'autres l'arrêt du Tribunal administratif fédéral C-2894/2007 du 11 novembre 2009 consid. 4.2).</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2007/16 précité consid. 5.1 et 5.2, ainsi que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consid. 4.3 p. 590 et la jurisprudence et doctrine citées).</w:t>
      </w:r>
    </w:p>
    <w:p>
      <w:r>
        <w:rPr>
          <w:b/>
        </w:rPr>
        <w:t>E. 6.1</w:t>
      </w:r>
    </w:p>
    <w:p>
      <w:r>
        <w:t>En l'occurrence, X._______ a sollicité l'octroi d'une exception aux mesures de limitation afin de demeurer dans le canton de Vaud où elle vit auprès de son ami depuis le mois de décembre 2006. Se fondant sur les pièces du dossier, le Tribunal constate que l'intéressée a séjourné précédemment en Suisse dans le cadre de visas pour tourisme en 2000 et 2001 et d'une autorisation de séjour de durée limitée (trois mois) accordée en 2002 afin qu'elle contracte mariage avec un ressortissant suisse, projet qui ne s'est finalement pas concrétisé, contrairement à ce qu'affirme cette dernière de manière totalement erronée dans son recours. Par la suite, la recourante est entrée illégalement en Suisse le 23 décembre 2006 et y a résidé à l'insu des autorités de police des étrangers jusqu'au dépôt de sa demande de régularisation au mois de février 2007 (cf. demande formelle du 22 février 2007). Depuis lors, elle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Dans ces circonstances,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et jurisprudence citée).</w:t>
      </w:r>
    </w:p>
    <w:p>
      <w:r>
        <w:rPr>
          <w:b/>
        </w:rPr>
        <w:t>E. 7</w:t>
      </w:r>
    </w:p>
    <w:p>
      <w:r>
        <w:t>Cela étant, il convient d'examiner les critères d'évaluation qui, autres que la seule durée du séjour en Suisse, sont susceptibles d'être pris en considération pour l'appréciation des cas de rigueur au sens de l'art. 13 let. f OLE.</w:t>
      </w:r>
    </w:p>
    <w:p>
      <w:r>
        <w:rPr>
          <w:b/>
        </w:rPr>
        <w:t>E. 7.1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5.1).</w:t>
      </w:r>
    </w:p>
    <w:p>
      <w:r>
        <w:rPr>
          <w:b/>
        </w:rPr>
        <w:t>E. 7.2</w:t>
      </w:r>
    </w:p>
    <w:p>
      <w:r>
        <w:t>En l'espèce, X._______ a sollicité, par lettre du 19 février 2007 et par formulaire rempli le 22 février 2007, la régularisation de ses conditions de séjour. Elle a justifié sa démarche par la « nécessité » de demeurer auprès de son concubin, ressortissant suisse domicilié dans le canton de Vaud et a expressément invoqué, dans son recours, la protection de sa vie familiale garantie par l'art. 8 CEDH. En outre, elle a mis en avant le fait que son compagnon - divorcé à deux reprises - n'entendait pas se remarier prochainement, sans toutefois exclure cette possibilité, et qu'ils avaient signé un contrat de partenariat. Elle a aussi précisé que son ami prenait en charge son entretien, qu'elle souhaitait compléter sa formation d'infirmière afin de trouver un emploi, que faute toutefois d'une autorisation idoine, elle n'avait pu mener à bien ce projet, et qu'enfin elle assistait les parents âgés de son compagnon dans leur vie quotidienne.</w:t>
      </w:r>
    </w:p>
    <w:p>
      <w:r>
        <w:rPr>
          <w:b/>
        </w:rPr>
        <w:t>E. 7.2.1</w:t>
      </w:r>
    </w:p>
    <w:p>
      <w:r>
        <w:t>S'agissant de la protection de la vie familiale et privée garantie par l'art. 8 CEDH, telle qu'invoquée par la recourante, il y a lieu de relever ce qui suit.</w:t>
      </w:r>
    </w:p>
    <w:p>
      <w:r>
        <w:rPr>
          <w:b/>
        </w:rPr>
        <w:t>E. 7.2.1.1</w:t>
      </w:r>
    </w:p>
    <w:p>
      <w:r>
        <w:t>La CEDH n'a pas une portée directe dans le cadre de la procédure d'exemption des mesures de limitation du nombre des étrangers, puisque cette procédure ne concerne pas directement le droit de séjourner en Suisse (cf. ATF 123 II 125 consid. 2 in fine et la jurisprudence citée). La disposition de l'art. 8 CEDH ne saurait donc être directement invoquée dans la procédure relative à l'assujettissement aux mesures de limitation. Ainsi, le fait qu'un étranger peut se prévaloir du droit au respect de la vie privée et familiale garanti par l'art. 8 CEDH n'implique pas nécessairement qu'il soit soustrait aux mesures de limitation en vertu de l'art. 13 let. f OLE. Les critères découlant de l'art. 8 CEDH peuvent cependant être pris en considération pour examiner si l'on est en présence d'un cas personnel d'extrême gravité au sens de l'art. 13 let. f OLE, dans la mesure où des motifs d'ordre familial seraient liés à cette situation (cf. ATAF 2007/45 précité consid. 5.2 et réf. citées; voir également les arrêts du Tribunal fédéral 2A.76/2007 du 12 juin 2007 consid. 5.1, 2A.83/2007 du 16 mai 2007 consid. 3.2 et 2A.627/2006 du 28 novembre 2006 consid. 4.2.1).</w:t>
      </w:r>
    </w:p>
    <w:p>
      <w:r>
        <w:rPr>
          <w:b/>
        </w:rPr>
        <w:t>E. 7.2.1.2</w:t>
      </w:r>
    </w:p>
    <w:p>
      <w:r>
        <w:t>D'après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135 I 143 consid. 1.3.1, 130 II 281 consid. 3.1 et la jurisprudence citée]). Les relations visées à l'art. 8 CEDH sont avant tout celles qui existent entre époux, ainsi que les relations entre parents et enfants mineurs vivant en ménage commun (cf. notamment ATF 135 I 143 consid. 1.3.2 et 129 II 11 consid. 2).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et 126 II 377 consid. 7).</w:t>
      </w:r>
    </w:p>
    <w:p>
      <w:r>
        <w:rPr>
          <w:b/>
        </w:rPr>
        <w:t>E. 7.2.1.3</w:t>
      </w:r>
    </w:p>
    <w:p>
      <w:r>
        <w:t>En l'occurrence, force est de constater que la relation qu'entretient la recourante avec son compagnon suisse ne correspond pas à celle visée par la jurisprudence précitée (conjoint ou enfant mineur) permettant d'invoquer la protection de l'art. 8 CEDH. Par ailleurs, selon la jurisprudence du Tribunal fédéral, les fiançailles ou le concubinage ne permettent pas, sous réserve de circonstances particulières, d'invoquer le respect de la vie privée et familiale garanti par l'art. 8 CEDH. C'est ainsi que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fédéral 2C_31/2010 du 23 mars 2010 et jurisprudence citée). Or, dans le cas d'espèce, il ressort clairement que la conclusion d'un mariage imminent est exclue, l'intéressée et son compagnon n'envisageant pas pour l'instant de contracter un tel mariage en raison d'un choix personnel. La recourante, interpellée par les autorités cantonales sur ce point, a clairement indiqué qu'elle et son compagnon n'avaient pas de « plans précis pour un mariage » (cf. lettre du 24 juillet 2007) et a encore précisé, dans son pourvoi, qu'ils ne souhaitaient pas « précipiter » de décision à ce sujet (cf. recours, p. 13). Peu importe dès lors les raisons personnelles invoquées par la recourante et son compagnon pour différer leur mariage, ce dernier n'étant pas d'actualité, la jurisprudence précitée n'est pas applicable à leur couple.</w:t>
      </w:r>
    </w:p>
    <w:p>
      <w:r>
        <w:rPr>
          <w:b/>
        </w:rPr>
        <w:t>E. 7.2.1.4</w:t>
      </w:r>
    </w:p>
    <w:p>
      <w:r>
        <w:t>Outre le droit au respect de la vie familiale, l'art. 8 par. 1 CEDH garantit le droit au respect de la vie privée. Selon la jurisprudence, pour qu'on puisse en déduire un droit à une autorisation de séjour, des conditions strictes doivent être remplies. Il faut ainsi qu'il existe des liens spécialement intenses dépassant ceux qui résultent d'une intégration ordinaire et ce, dans le domaine professionnel ou social (cf. ATF 130 II 281 consid. 3.2.1 p. 286s et la jurisprudence citée). Selon la doctrine, le droit à la protection de la vie privée, garanti par l'art. 8 par. 1 CEDH, peut fonder un droit de présence en Suisse, notamment lorsque l'intéressé a déjà séjourné longtemps dans notre pays et y dispose d'un réseau de relations personnelles et professionnelles particulièrement dense (Peter Uebersax, in Ausländerrecht, 2e éd., 2008, no 7.127; cf. aussi arrêt du Tribunal fédéral 2C_266/2009 du 2 février 2010 consid. 3.2). Or, tel n'est pas le cas en l'espèce, dans la mesure où la recourante n'a pas démontré disposer d'un tel réseau social approfondi dépassant le cadre strictement familial ou domestique.</w:t>
      </w:r>
    </w:p>
    <w:p>
      <w:r>
        <w:rPr>
          <w:b/>
        </w:rPr>
        <w:t>E. 7.2.1.5</w:t>
      </w:r>
    </w:p>
    <w:p>
      <w:r>
        <w:t>Le compagnon de l'intéressée a certes fait valoir dans son courrier du 20 juillet 2010 qu'un départ de Suisse de l'intéressée remettrait en question l'assistance apportée à sa mère qui, depuis la mort de son époux, avait rejoint son foyer où, en raison de son état de santé, elle était prise en charge par la recourante, qui était au bénéfice d'une formation d'infirmière. Le Tribunal doit néanmoins constater que les conséquences pour son compagnon et la mère de ce dernier qu'engendrerait le départ de Suisse de la recourante ne sont pas pertinentes dans le cas d'espèce. En effet, le cas d'extrême gravité doit, pour être pris en considération, être en principe réalisé dans la personne de l'intéressée et non dans celle de tiers (arrêt du Tribunal administratif fédéral C-271/2006 du 2 avril 2007, consid. 5.1 et jurisprudence citée).</w:t>
      </w:r>
    </w:p>
    <w:p>
      <w:r>
        <w:rPr>
          <w:b/>
        </w:rPr>
        <w:t>E. 7.2.2</w:t>
      </w:r>
    </w:p>
    <w:p>
      <w:r>
        <w:t>En ce qui concerne l'intégration sociale de X._______, force est de constater que, comparée à celle de la moyenne des étrangers présents en Suisse depuis un laps de temps analogue, elle ne revêt aucun caractère exceptionnel. Certes, l'intéressée fait valoir qu'elle participe à la vie associative lausannoise (membre des groupes liturgiques et de lecteurs à l'Eglise Catholique Saint-Joseph à Lausanne et présidente de l'Association Chrétienne camerounaise de Saint-Joseph). Ces allégués ne sont toutefois pas établis. Quoi qu'il en soit, nonobstant les liens tissés par la recourante avec la Suisse et notamment attestés par des lettres de soutien, les circonstances du cas particulier ne permettent pas de constater l'existence d'une intégration hors du commun au sein de la population helvétique. A ce propos, le fait que la recourante ait intégré bénévolement une association religieuse ne saurait être déterminant pour apprécier l'intégration de la prénommée aux us et coutumes suisses. Au demeurant, il est tout à fait normal qu'une personne ayant vécu durant plusieurs années dans un pays tiers se soit familiarisée avec le mode de vie de ce pays et s'y soit créé des attaches. Aussi, bien que le TAF ne remette nullement en cause les efforts d'intégration accomplis par l'intéressée, ni les bons contacts qu'elle a pu établir avec la population au fil des ans, il ne saurait pour autant considérer que la recourante se soit créé avec la Suisse des attaches à ce point profondes et durables qu'elle ne puisse plus raisonnablement envisager un retour dans son pays d'origine.</w:t>
      </w:r>
    </w:p>
    <w:p>
      <w:r>
        <w:rPr>
          <w:b/>
        </w:rPr>
        <w:t>E. 7.3</w:t>
      </w:r>
    </w:p>
    <w:p>
      <w:r>
        <w:t>Sur le plan professionnel, il appert que depuis son arrivée en Suisse, X._______ n'a pas occupé d'emploi rémunéré. Certes, elle a suivi une formation d'auxiliaire administrative à l'Ifage à Genève et comptait continuer sa formation pour obtenir un diplôme. Elle s'est par ailleurs occupée des parents de son concubin, puis, depuis le décès du père de ce dernier, elle prend en charge sa veuve (cf. consid. B et G). Sur un autre plan, son entretien a été assuré depuis lors par son compagnon (cf. courrier du 6 janvier 2008 et contrat de partenariat du 11 février 2008), de sorte qu'elle n'a pas eu recours à des prestations d'assistance. Toutefois, rien ne permet d'admettre que les connaissances et les qualifications que la recourante a pu acquérir en Suisse ne puissent être mises en pratique dans son pays d'origine, ni de considérer qu'elle a fait preuve d'une évolution professionnelle remarquable en Suisse, justifiant à elle seule l'admission d'un cas de rigueur au sens de l'art. 13 let. f OLE (cf. ATAF 2007/16 consid. 8.3 p. 200 et jurisprudence citée).</w:t>
      </w:r>
    </w:p>
    <w:p>
      <w:r>
        <w:rPr>
          <w:b/>
        </w:rPr>
        <w:t>E. 7.3.1</w:t>
      </w:r>
    </w:p>
    <w:p>
      <w:r>
        <w:t>Sur un autre plan, il convient de constater que la recourante est née au Cameroun, qu'elle a suivi toute sa scolarité obligatoire dans ce pays et qu'elle y a entrepris une formation d'infirmière (cf. lettre du 19 février 2007). Ayant vécu dans sa patrie jusqu'à l'âge de trente-cinq ans environ, elle a ainsi non seulement passé dans son pays d'origine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X._______ sur le territoire suisse ait été long au point de la rendre totalement étrangère à sa patrie. Il n'est en effet pas concevable que ce pays, où elle a passé la majeure partie de son existence lui soit devenu à ce point étranger qu'elle ne serait plus en mesure, après une période de réadaptation, d'y retrouver ses repères. Il est dès lors indéniable que la recourante possède des attaches socio-culturelles étroites et profondes avec sa patrie. Même si l'on peut admettre, dans une certaine mesure, qu'elle a perdu une partie de ses racines au Cameroun du fait de son séjour en Suisse, force est néanmoins de constater qu'un retour dans sa patrie ne la placerait pas dans une situation exceptionnelle où l'application des règles normales de police des étrangers l'exposerait à un traitement particulièrement sévère. Au demeurant, il n'est pas inutile de rappeler ici que les connaissances et la formation professionnelle que la recourante a acquises durant son séjour en Suisse constitueront certainement un atout de nature à favoriser sa réintégration professionnelle.</w:t>
      </w:r>
    </w:p>
    <w:p>
      <w:r>
        <w:rPr>
          <w:b/>
        </w:rPr>
        <w:t>E. 7.3.2</w:t>
      </w:r>
    </w:p>
    <w:p>
      <w:r>
        <w:t>Enfin, le Tribunal n'ignore pas non plus que le retour d'un étranger dans son pays après un séjour de plusieurs années en Suisse n'est pas exempt de difficultés. En cas de retour forcé dans sa patrie, la recourante se trouvera probablement dans une situation matérielle sensiblement inférieure à celle dont elle bénéficie en Suisse, notamment en raison de la différence du niveau de vie existant entre ce pays et le Cameroun. Il n'y a pas lieu cependant de considérer que cette situation serait sans commune mesure avec celle que connaissent ses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p. 201),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également ATAF 2007/44 consid. 5.3 p. 582s. et ATAF 2007/45 consid. 7.6 p. 597s.).</w:t>
      </w:r>
    </w:p>
    <w:p>
      <w:r>
        <w:rPr>
          <w:b/>
        </w:rPr>
        <w:t>E. 7.4</w:t>
      </w:r>
    </w:p>
    <w:p>
      <w:r>
        <w:t>La recourante se plaint enfin d'une inégalité de traitement par rapport à d'autres cas semblables dont « les caractéristiques étaient une durée de résidence en Suisse comparable, la nationalité suisse de l'un des deux concubins, la présence d'un enfant reconnu, l'absence totale de volonté établie dans le temps de se marier pour des motifs personnels ».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ce qui est dissemblable n'est l'est pas de manière différente (cf. ATF 136 II 120 consid. 3.3.2, 131 V 107 consid. 3.4.2, 129 I 113 consid. 5.1, 127 V 448 consid. 3b, 125 I 1 consid. 2b/aa et la jurisprudence citée). En premier lieu, il suffit de constater que la situation de l'intéressée n'est pas semblable à celle décrite ci-avant, dans la mesure où cette dernière n'est pas la mère d'un enfant reconnu par un concubin suisse. Cela étant, le Tribunal constate que le cas de X._______ a fait l'objet d'une analyse détaillée, de laquelle il est ressorti qu'elle ne remplissait pas les conditions d'une exception aux mesures de limitation. C'est donc en vain qu'elle s'interroge sur une éventuelle violation du principe de l'égalité de traitement (cf. à cet égard arrêts du Tribunal fédéral 2A.631/2006 du 8 décembre 2006, consid. 4.2, et 2A.305/2006 du 2 août 2006 consid. 5.3).</w:t>
      </w:r>
    </w:p>
    <w:p>
      <w:r>
        <w:rPr>
          <w:b/>
        </w:rPr>
        <w:t>E. 7.5</w:t>
      </w:r>
    </w:p>
    <w:p>
      <w:r>
        <w:t>En conséquence, l'examen de l'ensemble des éléments de la présente cause amène le Tribunal à la conclusion que la recourante ne se trouve pas dans une situation d'extrême gravité au sens de l'art. 13 let. f OLE et que c'est à bon droit que l'autorité inférieure a écarté sa requête.</w:t>
      </w:r>
    </w:p>
    <w:p>
      <w:r>
        <w:rPr>
          <w:b/>
        </w:rPr>
        <w:t>E. 8</w:t>
      </w:r>
    </w:p>
    <w:p>
      <w:r>
        <w:t>Compte tenu des considérants exposés ci-dessus, il appert que, par sa décision du 1er décembre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