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C-354/2006 vom 9. Januar 2009</w:t>
      </w:r>
    </w:p>
    <w:p>
      <w:r>
        <w:t>Bundesverwaltungsgericht, 2009-01-09, FR</w:t>
      </w:r>
    </w:p>
    <w:p>
      <w:r>
        <w:rPr>
          <w:b/>
        </w:rPr>
        <w:t xml:space="preserve">Quelle: </w:t>
      </w:r>
      <w:r>
        <w:t>https://mcp.opencaselaw.ch/entscheid/bvger_C-354_2006</w:t>
      </w:r>
    </w:p>
    <w:p>
      <w:r>
        <w:t>FR: TAF C-354/2006 du 9 janvier 2009</w:t>
      </w:r>
    </w:p>
    <w:p>
      <w:r>
        <w:t>IT: TAF C-354/2006 del 9 gennaio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OLE),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Dans la mesure où il est compétent, le TAF statue sur les recours pendants devant les commissions fédérales de recours ou d'arbitrage ou devant les services de recours des départements au 1er janvier 2007 (cf. art. 53 al. 2 phr. 1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telles que l'OLE (cf. art. 91 de l'ordonnance du 24 octobre 2007 relative à l'admission, au séjour et à l'exercice d'une activité lucrative [OASA, RS 142.201]).</w:t>
      </w:r>
    </w:p>
    <w:p>
      <w:r>
        <w:rPr>
          <w:b/>
        </w:rPr>
        <w:t>E. 1.4</w:t>
      </w:r>
    </w:p>
    <w:p>
      <w:r>
        <w:t>Dès lors que la demande qui est l'objet de la présente procédure de recours a été déposée avant l'entrée en vigueur de la LEtr, l'ancien droit demeure applicable, conformément à la réglementation transitoire de l'art. 126 al. 1 LEtr. En revanche, le nouveau droit de procédure est applicable, conformément à l'art. 126 al. 2 LEtr.</w:t>
      </w:r>
    </w:p>
    <w:p>
      <w:r>
        <w:rPr>
          <w:b/>
        </w:rPr>
        <w:t>E. 1.5</w:t>
      </w:r>
    </w:p>
    <w:p>
      <w:r>
        <w:t>A moins que la LTAF n'en dispose autrement, la procédure devant le TAF est régie par la PA (cf. art. 37 LTAF).</w:t>
      </w:r>
    </w:p>
    <w:p>
      <w:r>
        <w:rPr>
          <w:b/>
        </w:rPr>
        <w:t>E. 1.6</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1.4 ci-dessus (cf. arrêt du Tribunal fédéral 2A.451/2002 du 28 mars 2003 consid. 1.2, partiellement publié in ATF 129 II 215).</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3.2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4</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l'OCP le 27 février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 pour l'ODM et le Tribunal (cf. art. 40 al. 1 et 99 LEtr en relation avec l'art. 85 OASA; voir également le chiffre 1.3.2 des Directives et Commentaires de l'ODM, en ligne sur le site de l'ODM www.bfm.admin.ch &gt; Thèmes &gt; Bases légales &gt; Directives et commentaires &gt; Domaine des étrangers &gt; Procédure et répartition des compétences, version 01.01.2008, consulté le 30 octobre 2008).</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L'art. 13 let. f OLE présente un caractère exceptionnel et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2007/45 consid. 4.2 p. 589/590 ainsi que jurisprudence et doctrine citées).</w:t>
      </w:r>
    </w:p>
    <w:p>
      <w:r>
        <w:rPr>
          <w:b/>
        </w:rPr>
        <w:t>E. 6</w:t>
      </w:r>
    </w:p>
    <w:p>
      <w:r>
        <w:t>Au cas particulier, la recourante demande à être exemptée des mesures de limitation pour une durée limitée, afin de pouvoir prendre part aux procédures pénale et civile qu'elle a introduites à l'encontre de son ancien employeur en Suisse, tout en travaillant pour subvenir à ses besoins.</w:t>
      </w:r>
    </w:p>
    <w:p>
      <w:r>
        <w:rPr>
          <w:b/>
        </w:rPr>
        <w:t>E. 6.1</w:t>
      </w:r>
    </w:p>
    <w:p>
      <w:r>
        <w:t>Dans un premier temps, il convient de relever que la recourante ne prétend pas que son intégration en Suisse et la durée de son séjour seraient telles qu'un retour dans son pays d'origine la placerait dans une situation d'extrême gravité, respectivement que le refus de l'exempter des mesures de limitation aurait pour elle des conséquences dramatiques, notablement supérieures à ce que connaîtraient des compatriotes dans une situation similaire. La durée de son séjour en Suisse est en effet moindre, environ quatre ans et trois mois, et bien que le dossier ne contienne que peu d'éléments sur son intégration, il n'apparaît pas que A._______ serait particulièrement bien intégrée dans ce pays, qu'elle y aurait acquis des compétences professionnelles et développé un réseau de connaissances tels qu'il lui serait extrêmement délicat de se réinsérer aux Philippines. De surcroît, c'est dans ce pays qu'elle a vécu jusqu'à l'âge de trente-cinq ans, y passant en particulier son adolescence et ses années de jeune adulte, période déterminante pour la formation de la personnalité. Son séjour en Suisse n'est de toute évidence pas suffisamment long pour la rendre étrangère à son pays. Dans ces circonstances, il est manifeste que la recourante pourra sans difficultés excessives se réintégrer dans la société philippine, de telle sorte que les éléments ordinairement pris en considération pour accorder une exception aux mesures de limitation ne sont ici pas réunis.</w:t>
      </w:r>
    </w:p>
    <w:p>
      <w:r>
        <w:rPr>
          <w:b/>
        </w:rPr>
        <w:t>E. 6.2.1</w:t>
      </w:r>
    </w:p>
    <w:p>
      <w:r>
        <w:t>S'agissant du motif invoqué par la recourante pour justifier une exception aux mesures de limitation, le Tribunal observe que les procédures à l'encontre de son employeur ont débuté en mars 2005. Or, plus de trois ans et demi après, la situation n'a pas évolué. En particulier, l'immunité juridictionnelle de l'ancien employeur de la recourante n'a pas été levée. Il ne ressort par ailleurs pas du dossier que des développements sont prochainement attendus. Si l'on en croit la prise de position de la recourante du 4 novembre 2008 adressée au DFAE, ce dernier n'entend manifestement pas agir dans ce sens. En outre, la recourante prétend que son ancien employeur "devrait quitter ses fonctions en Suisse en 2009" et que de ce fait, son immunité sera ipso facto levée. L'allégué relatif à la fin des fonctions de l'ambassadeur n'est toutefois aucunement étayé, et la recourante elle-même recourt au conditionnel. Dans ces circonstances, la tenue d'une audience dans les mois à venir apparaît des plus improbables, faute de levée de l'immunité.</w:t>
      </w:r>
    </w:p>
    <w:p>
      <w:r>
        <w:rPr>
          <w:b/>
        </w:rPr>
        <w:t>E. 6.2.2</w:t>
      </w:r>
    </w:p>
    <w:p>
      <w:r>
        <w:t>En tout état de cause, dans la mesure où l'action pénale se prescrit par quinze ans pour une infraction comme l'usure (cf. art. 157 du Code pénal suisse du 21 décembre 1937 [CP, RS 311.0], passible d'une peine privative de liberté de plus de trois ans [cf. art. 97 al. 1 let. b CP]), la recourante, qui a déposé plainte pénale le 15 septembre 2005, conserve plus de onze ans et demi pour faire valoir ses droits. Elle pourra également initier formellement la procédure prud'homale depuis les Philippines par l'intermédiaire de son mandataire et demander l'octroi d'un visa pour comparaître à l'audience, respectivement revenir en Suisse pour la durée de la procédure. Sur ce point particulier, il sied de relever que dans l'affaire à laquelle se réfère la recourante, la victime a obtenu le 30 octobre 2006 un visa pour qu'il fût procédé à son interrogatoire et à celui de son agresseur. Sa première demande, qui avait effectivement fait l'objet d'un refus, avait été déposée tardivement, soit le 4 janvier 2005 seulement pour participer à une audience appointée sur le 13 janvier 2005 depuis le 15 novembre 2004 déjà. L'audience ayant finalement été annulée, le visa n'avait pas été délivré. La personne concernée, bien qu'assistée d'un mandataire professionnel, n'avait cependant pas demandé de décision formelle et n'avait pas recouru. En d'autres termes, c'est à tort que la recourante se fonde sur ce précédent pour affirmer qu'une demande d'autorisation d'entrée en Suisse lui sera refusée. Les autorités compétentes examineront la situation de fait et de droit au moment où elle déposera sa demande de visa, en tenant compte de l'ensemble des circonstances.</w:t>
      </w:r>
    </w:p>
    <w:p>
      <w:r>
        <w:rPr>
          <w:b/>
        </w:rPr>
        <w:t>E. 6.2.3</w:t>
      </w:r>
    </w:p>
    <w:p>
      <w:r>
        <w:t>S'agissant des frais de transport, notamment du billet d'avion, la recourante pourra cas échéant requérir le bénéfice de l'assistance judiciaire pour sa procédure pénale et ainsi obtenir des avances, et non pas seulement le remboursement de ses frais (cf. art. 143A de la loi genevoise d'organisation judiciaire [RSG E 2.05] et règlement sur l'assistance juridique [RSG E 2.05.04], en particulier art. 4 al. 2), comme cela a par ailleurs été le cas dans l'affaire ODM (...) citée par la recourante (cf. décision du 7 août 2006 du vice-président du Tribunal de première instance du canton de Genève).</w:t>
      </w:r>
    </w:p>
    <w:p>
      <w:r>
        <w:rPr>
          <w:b/>
        </w:rPr>
        <w:t>E. 6.2.4</w:t>
      </w:r>
    </w:p>
    <w:p>
      <w:r>
        <w:t>Quant à l'argument selon lequel l'intéressée perdrait son travail en cas d'absence, il n'apparaît, en l'état, pas suffisamment concret pour modifier l'appréciation de l'autorité. Quoi qu'il en soit, la perte de son emploi dans son pays d'origine, si elle était effectivement regrettable, ne placerait pas pour autant la recourante dans une situation différente de nombre de ses autres compatriotes au chômage et rien n'indique qu'elle ne pourrait pas retrouver rapidement un emploi, une fois de retour, à l'issue des procédures.</w:t>
      </w:r>
    </w:p>
    <w:p>
      <w:r>
        <w:rPr>
          <w:b/>
        </w:rPr>
        <w:t>E. 6.3</w:t>
      </w:r>
    </w:p>
    <w:p>
      <w:r>
        <w:t>Il apparaît ainsi que les éléments dont se prévaut la recourante ne sont pas constitutifs d'un cas d'extrême gravité et ne la placent pas dans une situation hautement plus dramatique que celle que vivent nombre de ses compatriotes appelés à rentrer chez eux après un séjour de quelques années à l'étranger. Les procédures qu'elle entend initier à l'encontre de son ancien employeur ne nécessitent pour l'heure pas l'octroi d'une autorisation de séjour ni de travail, fût-ce pour une durée déterminée.</w:t>
      </w:r>
    </w:p>
    <w:p>
      <w:r>
        <w:rPr>
          <w:b/>
        </w:rPr>
        <w:t>E. 7</w:t>
      </w:r>
    </w:p>
    <w:p>
      <w:r>
        <w:t>Par sa décision du 30 mai 2006, l'ODM n'a ainsi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