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C-3541/2007 vom 3. November 2009</w:t>
      </w:r>
    </w:p>
    <w:p>
      <w:r>
        <w:t>Bundesverwaltungsgericht, 2009-11-03, FR</w:t>
      </w:r>
    </w:p>
    <w:p>
      <w:r>
        <w:rPr>
          <w:b/>
        </w:rPr>
        <w:t xml:space="preserve">Quelle: </w:t>
      </w:r>
      <w:r>
        <w:t>https://mcp.opencaselaw.ch/entscheid/bvger_C-3541_2007</w:t>
      </w:r>
    </w:p>
    <w:p>
      <w:r>
        <w:t>FR: TAF C-3541/2007 du 3 novembre 2009</w:t>
      </w:r>
    </w:p>
    <w:p>
      <w:r>
        <w:t>IT: TAF C-3541/2007 del 3 novembre 2009</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LTAF, le Tribunal administratif fédéral, en vertu de l'art. 31 LTAF, connaît des recours contre les décisions au sens de l'art. 5 de la loi fédérale sur la procédure administrative du 20 décembre 1968 (PA, RS 172.021) prises par les autorités mentionnées à l'art. 33 LTAF. En l'espèce, la décision attaquée est indubitablement une décision au sens de l'art. 5 PA et le Tribunal administratif fédéral est compétent pour en connaître (cf. 33 let. d LTAF; art. 69 al. 1 let. b LAI).</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28 à 70), à moins que la LAI ne déroge à la LPGA. En l'espèce, le recours a été interjeté dans le délai prévu par la loi (cf. art. 60 LPGA et art. 52 PA). La recourante est particulièrement touchée par la décision attaquée et a un intérêt digne de protection à ce qu'elle soit annulée ou modifiée (art. 59 LPGA); elle a partant qualité pour recourir. Il est entré en matière sur le recours.</w:t>
      </w:r>
    </w:p>
    <w:p>
      <w:r>
        <w:rPr>
          <w:b/>
        </w:rPr>
        <w:t>E. 2</w:t>
      </w:r>
    </w:p>
    <w:p>
      <w:r>
        <w:t>La recourante est citoyenne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(art. 80a, de la loi fédérale du 19 juin 1959 sur l'assurance-invalidité [LAI, RS 831.20]). Conformément à l'art. 3 al. 1 du Règlement (CEE) N° 1408/71 du Conseil du 14 juin 1971,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w:t>
      </w:r>
    </w:p>
    <w:p>
      <w:r>
        <w:rPr>
          <w:b/>
        </w:rPr>
        <w:t>E. 3</w:t>
      </w:r>
    </w:p>
    <w:p>
      <w:r>
        <w:t>La recourante peut invoquer la violation du droit fédéral (qui englobe notamment les droits constitutionnels des citoyens [ATF 124 II 517 consid. 1 p. 519; 123 II 385 consid. 3 p. 388]), y compris l'excès ou l'abus du pouvoir d'appréciation, de même que la constatation inexacte ou incomplète des faits pertinents et que l'inopportunité (cf. art. 49 PA).</w:t>
      </w:r>
    </w:p>
    <w:p>
      <w:r>
        <w:rPr>
          <w:b/>
        </w:rPr>
        <w:t>E. 4</w:t>
      </w:r>
    </w:p>
    <w:p>
      <w:r>
        <w:t>En vertu de la maxime inquisitoire, le Tribunal doit constater les faits pertinents et ordonner et apprécier d'office les preuves nécessaires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(cf. ATF 119 V 347 consid. 1a).</w:t>
      </w:r>
    </w:p>
    <w:p>
      <w:r>
        <w:rPr>
          <w:b/>
        </w:rPr>
        <w:t>E. 5</w:t>
      </w:r>
    </w:p>
    <w:p>
      <w:r>
        <w:t>La LPGA, ainsi que l'ordonnance du 11 septembre 2002 sur la partie générale du droit des assurances sociales (OPGA, RS 830.11), sont entrées en vigueur le 1er janvier 2003, entraînant la modification de nombreuses dispositions légales dans le domaine de l'assurance-invalidité. Selon l'art. 2 LPGA (ce également dans sa teneur en vigueur à partir du 1er janvier 2008), les dispositions de la LPGA sont applicables aux assurances sociales régies par la législation fédérale, si et dans la mesure où les lois spéciales sur les assurances sociales le prévoient. Or, l'art. 1 LAI indique que les dispositions de la LPGA s'appliquent à l'assurance-invalidité (art. 1a à 26bis et 28 à 70), à moins que ladite loi ne déroge expressément à la LPGA. En particulier, les principes dégagés par la jurisprudence quant aux notions d'incapacité de gain et d'invalidité conservent leur validité sous l'empire de la LPGA (ATF 130 V 343).</w:t>
      </w:r>
    </w:p>
    <w:p>
      <w:r>
        <w:rPr>
          <w:b/>
        </w:rPr>
        <w:t>E. 6</w:t>
      </w:r>
    </w:p>
    <w:p>
      <w:r>
        <w:t>S'agissant du droit matériel applicable, il convient encore de préciser qu'à partir du 1er janvier 2004, la présente procédure est régie par la teneur de la LAI modifiée par la novelle du 21 mars 2003 (4ème révision), eu égard au principe selon lequel les règles applicables sont celles en vigueur au moment où les faits juridiquement déterminants se sont produits (ATF 130 V 445 consid. 1.2). Selon une jurisprudence constante, le juge des assurances sociales apprécie la légalité des décisions attaquées, en règle générale, d'après l'état de fait existant au moment où la décision litigieuse a été rendue (ATF 116 V 246 consid. 1a et les arrêts cités). Les modifications introduites par la novelle du 6 octobre 2006 (5ème révision), entrées en vigueur le 1er janvier 2008, ne concernent donc pas cette procédure.</w:t>
      </w:r>
    </w:p>
    <w:p>
      <w:r>
        <w:rPr>
          <w:b/>
        </w:rPr>
        <w:t>E. 7</w:t>
      </w:r>
    </w:p>
    <w:p>
      <w:r>
        <w:t>Le litige porte sur le droit de la recourante aux prestations de l'assurance-invalidité.</w:t>
      </w:r>
    </w:p>
    <w:p>
      <w:r>
        <w:rPr>
          <w:b/>
        </w:rPr>
        <w:t>E. 7.1</w:t>
      </w:r>
    </w:p>
    <w:p>
      <w:r>
        <w:t>Aux termes de l'art. 8 al. 1 LPGA, est réputée invalidité l'incapacité de gain totale ou partielle qui est présumée permanente ou de longue durée. L'art. 4 LAI précise que l'invalidité peut résulter d'une infirmité congénitale, d'une maladie ou d'un accident (al. 1). Selon l'al. 2 de cette dernière disposition,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raisonnablement être exigé de lui, si cette perte résulte d'une atteinte à la santé physique ou mentale. En cas d'incapacité de longue durée, l'activité qui peut être exigée de lui peut aussi relever d'une autre profession ou d'un autre domaine d'activité (art. 6 LPGA). Selon l'art. 7 LPGA est réputée incapacité de gain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Dans ce contexte,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115 V 53, 114 V 285 consid. 3, 111 V 239 consid. 2a; Thomas Locher, Die Schadenminderungspflicht im Bundesgesetz vom 19. Juni 1959 über die Invalidenversicherung, in Mélanges pour le 75e anniversaire du TFA, p. 407 et ss., cf. aussi Alfred Maurer, Schweizerisches Sozialversicherungsrecht, vol. II p. 377, Ulrich Meyer-Blaser, Zum Verhältnismässigkeitsgrundsatz im staatlichen Leistungsrecht, th. Berne 1985, p. 131). Le fait qu'un recourant ne mette pas en valeur sa capacité résiduelle de travail pour des raisons étrangères à l'invalidité ne relève pas de l'assurance-invalidité, car il s'agit là de facteurs qui ne sont pas liés à l'invalidité et que l'AI n'est pas tenue de prendre en charge (RCC 1991 p. 329 consid. 3c). Dans cette mesure, la formation professionnelle, les aptitudes physiques et mentales de l'assuré, ainsi que son âge ou un arrêt de travail prolongé ne sont pas des facteurs supplémentaires propres à influencer l'étendue de l'invalidité, même s'ils rendent parfois plus difficile la recherche d'une place et, partant, l'utilisation de la capacité de travail résiduelle (cf. RCC 1982 p. 34 consid. 2C; VSI 1999, p. 247 consid. 1 et réf.).</w:t>
      </w:r>
    </w:p>
    <w:p>
      <w:r>
        <w:rPr>
          <w:b/>
        </w:rPr>
        <w:t>E. 8</w:t>
      </w:r>
    </w:p>
    <w:p>
      <w:r>
        <w:t>L'assuré a droit à un quart de rente s'il est invalide à 40% au moins, à une demi-rente s'il est invalide à 50%, à trois-quarts de rente s'il est invalide à 60% et à une rente entière s'il est invalide à 70% au moins (art. 28 al. 1 LAI, depuis la 4ème révision, introduite par la novelle du 21 mars 2003).</w:t>
      </w:r>
    </w:p>
    <w:p>
      <w:r>
        <w:rPr>
          <w:b/>
        </w:rPr>
        <w:t>E. 9</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265 ss).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ce qui semble le cas en l'espèce (ATF 111 V 22 consid. 2; 99 V 99; 96 V 44). Une incapacité de travail de 20% doit être prise en compte pour le calcul de l'incapacité de travail moyenne selon l'art. 29 al. 1 let. b LAI (cf. chiffre marginal 2016 de la Circulaire concernant l'invalidité et l'impotence; Jurisprudence et pratique administrative des autorités d'exécution de l'AVS/AI [Pratique VSI] 1998 p. 126 consid. 3c). La demande de prestations AI, reçue par l'OAIE le 9 février 2006, a été présentée le 11 juillet 2005, date depuis laquelle l'intéressée fait débuter son incapacité de travail et son invalidité (cf. pce 3). Toutefois, elle a aussi allégué avoir été malade du 28 mars 2003 au 27 mars 2006 (cf. pce 14), de sorte que le Tribunal examinera ici si elle avait droit aux prestations le 11 juillet 2004, ou si ce droit est né entre cette date et le 19 avril 2007, date de la décision attaquée marquant la limite dans le temps du pouvoir d'examen de l'autorité de recours (ATF 129 V consid 1; 121 V 362 consid. 1b).</w:t>
      </w:r>
    </w:p>
    <w:p>
      <w:r>
        <w:rPr>
          <w:b/>
        </w:rPr>
        <w:t>E. 10</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w:t>
      </w:r>
    </w:p>
    <w:p>
      <w:r>
        <w:rPr>
          <w:b/>
        </w:rPr>
        <w:t>E. 11</w:t>
      </w:r>
    </w:p>
    <w:p>
      <w:r>
        <w:t>La notion d'invalidité des art. 8 al. 1 LPGA et 4 al. 1 LAI est de nature juridique/économique et non pas médicale (ATF 116 V 246 consid. 1b); l'objet assuré n'est pas l'atteinte à la santé (la maladie), mais les conséquences économiques de l'atteinte, à savoir une incapacité de gain probablement permanente ou de longue durée. Le taux d'invalidité ne se confond pas nécessairement avec le taux d'incapacité fonctionnelle déterminé par le médecin; ce sont les conséquences économiques objectives de l'incapacité fonctionnelle qu'il importe d'évaluer (ATF 110 V 275 consid. 4). Le Tribunal fédéral a néanmoins jugé que les données fournies par les médecins constituent un élément utile pour déterminer quels travaux peuvent encore être exigés de l'assuré (ATF 125 V 261 consid. 4, 115 V consid. 2, 114 V 314 consid. 3c, 105 V 158 consid. 1; RCC 1991 p. 331 consid. 1c).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(ATF 125 V 352 consid. 3b/aa, ATF 118 V 220 consid. 1b et réf. cit.). Au surplus, le juge peut et doit tenir compte du fait que selon l'expérience, le médecin traitant est généralement enclin, en cas de doute, à prendre parti pour son patient en raison de la relation de confiance qui l'unit à ce dernier (ATF 125 V 353 consid. 3b/cc et les réf. cit.; Ulrich Meyer-Blaser, Bundesgesetz über die Invalidenversicherung, in: Rechtsprechung des Bundesgerichts zum Sozialversicherungsrecht, Zurich 1997, p. 230).</w:t>
      </w:r>
    </w:p>
    <w:p>
      <w:r>
        <w:rPr>
          <w:b/>
        </w:rPr>
        <w:t>E. 12</w:t>
      </w:r>
    </w:p>
    <w:p>
      <w:r>
        <w:t>En l'espèce, au vu du dossier, le Tribunal estime que l'autorité intimée, singulièrement son service médical, n'a pas suffisamment fondé son opinion divergeant de celle figurant à la fin du formulaire E213 (document qui paraît au demeurant avoir été rempli de façon superficielle), selon laquelle l'intéressée est incapable de travailler, même dans une activité adaptée. L'OAIE ne s'est pas suffisamment prononcé sur les plaintes de l'intéressée (douleurs [cf. aussi 4.8 formulaire E213], fatigue, dyspnée de l'effort). De même, font défaut dans le dossier, sur le plan oncologique, un examen du sang récent et complet contenant l'intégralité des valeurs de l'examen, ainsi qu'une expertise psychiatrique, une affection psychique ayant été mentionnée dans deux pièces du dossier (pces 14 in fine et 22 « histoire clinique »). Partant, le recours doit être partiellement admis en ce sens que la décision attaquée sera annulée et la cause renvoyée à l'autorité intimée pour qu'elle prenne une nouvelle décision après avoir procédé à une instruction complémentaire. Au vu des circonstances du cas d'espèce, cette solution s'impose malgré son caractère exceptionnel (cf. art. 61 PA); en effet, les informations manquantes sont indispensables à la résolution du cas. Par conséquent, l'OAIE invitera le psychiatre en charge du suivi thérapeutique de la recourante, si un tel suivi existe actuellement, à rendre un rapport détaillé; ensuite, l'office mettra en ?uvre une expertise psychiatrique. Dans le même temps, un examen oncologique sera effectué; il contiendra un examen du sang complet (cf. supra), voire tout examen jugé utile sur ce plan. L'office pourra en outre faire procéder à tout autre examen qu'il considèrera nécessaire. Le dossier ainsi complété sera soumis au service médical de l'OAIE, lequel se prononcera sur le degré d'invalidité jusqu'à la date de la décision attaquée, et de cette date jusqu'à celles des derniers examens effectués, en tenant compte de toutes les limitations constatées tant dans la dernière activité exercée que dans d'éventuelles activités de substitution exigibles qu'il conviendra de définir avec précision. Ensuite, après la procédure d'audition, l'OAIE rendra une nouvelle décision.</w:t>
      </w:r>
    </w:p>
    <w:p>
      <w:r>
        <w:rPr>
          <w:b/>
        </w:rPr>
        <w:t>E. 13</w:t>
      </w:r>
    </w:p>
    <w:p>
      <w:r>
        <w:t>Au vu de l'issue de la procédure, il sera renoncé à percevoir des frais de procédure et l'avance de frais de Fr. 400.- versée par la recourante lui sera retournée dès l'entrée en force du présent arrêt. Il n'y a pas lieu d'allouer de dépens, la recourant n'étant pas représentée (art 64 al. 1 PA et art. 7ss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