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C-3538/2008 vom 21. April 2010</w:t>
      </w:r>
    </w:p>
    <w:p>
      <w:r>
        <w:t>Bundesverwaltungsgericht, 2010-04-21, FR</w:t>
      </w:r>
    </w:p>
    <w:p>
      <w:r>
        <w:rPr>
          <w:b/>
        </w:rPr>
        <w:t xml:space="preserve">Quelle: </w:t>
      </w:r>
      <w:r>
        <w:t>https://mcp.opencaselaw.ch/entscheid/bvger_C-3538_2008</w:t>
      </w:r>
    </w:p>
    <w:p>
      <w:r>
        <w:t>FR: TAF C-3538/2008 du 21 avril 2010</w:t>
      </w:r>
    </w:p>
    <w:p>
      <w:r>
        <w:t>IT: TAF C-3538/2008 del 21 aprile 2010</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l'Office AI pour les assurés résidant à l'étranger (OAIE).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16 avril 2008, date de la décision attaquée, serait sans incidence sur l'issue de la cause (cf. entre autre l'arrêt du Tribunal administratif fédéral C-1224/2008 du 28 janvier 2010 consid. 2.2 et références). Par conséquent, sauf indication contraire, les dispositions citées ci-après sont celles en vigueur jusqu'au 31 décembre 2007.</w:t>
      </w:r>
    </w:p>
    <w:p>
      <w:r>
        <w:rPr>
          <w:b/>
        </w:rPr>
        <w:t>E. 3.2</w:t>
      </w:r>
    </w:p>
    <w:p>
      <w:r>
        <w:t>Le recourant a présenté sa demande de rente le 2 novembre 2005.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 novembre 2004 (12 mois avant le dépôt de la demande) ou si le droit à une rente était né entre cette date et le 16 avril 2008, date de la décision attaquée marquant la limite dans le temps du pouvoir d'examen de l'autorité de recours (ATF 129 V 1 consid. 1.2 et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à compter du 1er janvier 2008, l'assuré doit toutefois compter au moins trois années de cotisations [art. 36 LAI dans sa nouvelle teneur]). Le recourant a versé des cotisations à l'AVS/AI pendant 36 mois au total (doc 12 p. 1-4) et remplit donc la condition de la durée minimale de cotisations. Il reste à examiner s'il est 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suisses et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qu'une telle place de travail n'apparaisse pas de toute évidence comme exclue (arrêts du Tribunal fédéral 9C_446/2008 du 18 septembre 2008 et 9C_236/2008 du 4 août 2008). Sont toutefois réservées les règles jurisprudentielles particulières dans les cas où le recourant présente un âge avancé (cf. arrêts du Tribunal fédéral I 61/05 du 27 juillet 2005 consid. 4.4; I 819/04 du 27 mai 2005 consid. 2.2; I 462/02 du 26 mai 2003 consid. 2 s; I 401/01 du 4 avril 2002 consid. 4; arrêt du Tribunal cantonal du canton de Fribourg du 10 juillet 2008, Sozialversicherungsrecht Rechtsprechung [SVR] 2009 IV n° 8).</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(SVR 2001 IV n° 10 p. 28).</w:t>
      </w:r>
    </w:p>
    <w:p>
      <w:r>
        <w:rPr>
          <w:b/>
        </w:rPr>
        <w:t>E. 7.2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9.1</w:t>
      </w:r>
    </w:p>
    <w:p>
      <w:r>
        <w:t>En l'espèce, on relève tout d'abord que selon la documentation médicale aux actes de la cause le recourant souffre notamment d'arthrose dorso-lombaire, de hernie discale L4-L5, d'une sévère limitation de mouvement du bras droit, d'un syndrome anxio-dépressif chronique, d'épisodes de désorientation, de troubles de la concentration et d'une probable radiculopathie L5-S1.</w:t>
      </w:r>
    </w:p>
    <w:p>
      <w:r>
        <w:rPr>
          <w:b/>
        </w:rPr>
        <w:t>E. 9.2</w:t>
      </w:r>
    </w:p>
    <w:p>
      <w:r>
        <w:t>Il s'agit d'un statuts labile. Or, à défaut d'un état de santé stabilisé, la let. a de l'art. 29 al. 1 LAI est inapplicable; seule peut entrer en considération la let. b de cette disposition légale prévoyant une période d'attente d'une année à partir du début de l'incapacité de travail relevante pour la détermination du début du droit à la rente.</w:t>
      </w:r>
    </w:p>
    <w:p>
      <w:r>
        <w:rPr>
          <w:b/>
        </w:rPr>
        <w:t>E. 10.1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être exigés ou effectués; il peut être fait appel aux spécialistes de l'aide publique ou privée aux invalides.</w:t>
      </w:r>
    </w:p>
    <w:p>
      <w:r>
        <w:rPr>
          <w:b/>
        </w:rPr>
        <w:t>E. 10.2</w:t>
      </w:r>
    </w:p>
    <w:p>
      <w:r>
        <w:t>Le Tribunal de céans constate que l'instruction du dossier est incomplète, que la constatation des faits déterminants est inexacte et partielle et que la motivation de la décision attaquée est insuffisante.</w:t>
      </w:r>
    </w:p>
    <w:p>
      <w:r>
        <w:rPr>
          <w:b/>
        </w:rPr>
        <w:t>E. 10.2.1</w:t>
      </w:r>
    </w:p>
    <w:p>
      <w:r>
        <w:t>En l'espèce, il appert, de la documentation médicale produite dans le cadre de la demande de prestations, que l'assuré présente notamment des pathologies des rachis cervical et dorso-lombaire, une hernie discale L4-L5, de l'hypoacousie, un status anxio-dépressif chronique et des épisodes de désorientation spatiale, soit, déjà selon le rapport E 213 du 29 novembre 2005, des atteintes à la santé limitant l'intéressé à des travaux moyennement lourds sans besoin de devoir fréquemment soulever et transporter des charges ni emprunter des escaliers et échelles. De plus, dans ledit rapport E 213, il est signalé que l'intéressé est en incapacité totale relativement à sa dernière activité et que des aptitudes pour d'autres activités ne sont pas connues. En outre, les rapports médicaux émanant des médecins qui suivent le recourant en Espagne rendent plausible une aggravation de l'état de santé du recourant postérieure au rapport E 213 susmentionné. En particulier, par un complément de documentation médicale du 4 octobre 2006 signé du Dr D._______, traumatologue, il est fait état notamment de cervicodorsalgies de répétition qualifiées de sévères, d'un bras droit douloureux avec limitations sévères de la mobilité. La Dresse E._______, neurologue, dans un rapport du 25 octobre 2006, releva des troubles de la concentration, des désorientations de quelques minutes à une heure, un cavernome et une probable radiculopathie L5-S1. Un rapport de nature psychiatrique daté du 4 octobre 2006 nota une incidence psychiatrique du trouble anxio-dépressif affectant l'intéressé sur la capacité de travail de quelque 25%. Or, et nonobstant cela, la Dresse C._______ n'a pas indiqué dans son rapport du 12 février 2008, ni par ailleurs dans un autre rapport antérieur ou postérieur, quels étaient les diagnostics avec et sans répercussion sur la capacité de travail du recourant qu'elle retenait en l'espèce et pour quels motifs. Compte tenu de ce qui précède, il y a lieu de considérer - en raison notamment des épisodes de désorientation de quelques minutes à une heure, des atteintes au rachis et au bras droit et des troubles psychiques - que l'assuré ne paraît plus être à même d'exercer son activité de soudeur-monteur de structures métalliques, qui peut être qualifiée de lourde et qui est une activité nécessitant de jouir d'un bon équilibre et de pouvoir travailler en hauteur sans être entravé par un bras douloureux à la mobilité sévèrement réduite. C'est donc manifestement à tort que le service médical de l'OAIE, se fondant sur le rapport de la Dresse C._______ du 12 février 2008, insuffisamment motivé, a retenu que l'assuré ne présentait pas d'incapacité de travail dans sa dernière activité ou à tout le moins ne présentait pas une incapacité de travail d'au moins 40% dans cette activité.</w:t>
      </w:r>
    </w:p>
    <w:p>
      <w:r>
        <w:rPr>
          <w:b/>
        </w:rPr>
        <w:t>E. 10.2.2</w:t>
      </w:r>
    </w:p>
    <w:p>
      <w:r>
        <w:t>S'il est patent que reconnaître une incapacité totale de travail à un assuré dans sa dernière activité ne revient pas, selon le droit suisse en matière d'assurance-invalidité, à admettre une invalidité ouvrant le droit à une rente, car il appartient à l'assuré de tirer parti de sa capacité de travail résiduelle dans toute autre activité objectivement et raisonnablement exigible, pour autant qu'elle existe encore, la capacité de travail résiduelle existante doit être établie par le service médical de l'AI si tant est que celle-ci est niée. Or, il ne résulte pas des actes de la cause que l'état de santé de l'assuré ait été établi avec le soin nécessaire pour que l'on puisse évaluer sa capacité résiduelle de travail dans une activité de substitution. Par ailleurs, les différentes prises de positions de la Dresse C._______, médecin de l'OAIE, ne répondent pas suffisamment aux critères jurisprudentiels concernant les rapports médicaux (cf. sur la question le consid. 8.2 du présent arrêt). L'on ne saurait donc sans autre accorder une pleine valeur à ses prises de positions en l'absence notamment d'une discussion complète et convaincante des données médicales acquises en procédure. Pour ce motif, la capacité de travail du recourant dans une activité de substitution ne peut pas non plus être déterminée en l'état actuel du dossier.</w:t>
      </w:r>
    </w:p>
    <w:p>
      <w:r>
        <w:rPr>
          <w:b/>
        </w:rPr>
        <w:t>E. 11</w:t>
      </w:r>
    </w:p>
    <w:p>
      <w:r>
        <w:t>Le recours doit ainsi être partiellement admis et le dossier retourné à l'OAIE conformément à l'art. 61 PA pour instruction complémentaire comprenant des examens récents orthopédique et neuro-psychiatrique et toute autre mesure utile à déterminer la capacité de travail du recourant (notamment dans une activité de substitution). L'OAIE établira ensuite, le cas échéant, une comparaison de revenus établissant le taux d'invalidité de l'assuré.</w:t>
      </w:r>
    </w:p>
    <w:p>
      <w:r>
        <w:rPr>
          <w:b/>
        </w:rPr>
        <w:t>E. 12.1</w:t>
      </w:r>
    </w:p>
    <w:p>
      <w:r>
        <w:t>Le recourant ayant eu partiellement gain de cause, il n'est pas perçu de frais de procédure (art. 63 PA). L'avance de frais effectuée lui est remboursée.</w:t>
      </w:r>
    </w:p>
    <w:p>
      <w:r>
        <w:rPr>
          <w:b/>
        </w:rPr>
        <w:t>E. 12.2</w:t>
      </w:r>
    </w:p>
    <w:p>
      <w:r>
        <w:t>Le recourant ayant agi en étant représenté, il lui est allouée une indemnité globale de dépens de Fr. 1'000.- (art. 64 al. 1 PA et art. 7 ss du règlement du 21 février 2008 concernant les frais, dépens et indemnités fixés par le Tribunal administratif fédéral [FITAF, RS 173.320.2]; cf. également ATF 132 V 215 consid. 6.2 selon lequel la partie qui a formé recours est réputée avoir obtenu gain de cause lorsque celle-ci est renvoyée à l'administration pour instruction complémentaire et nouvelle décision), compte tenu de la difficulté de la cause et du volume du dossier ainsi que du travail nécessaire effectué par l'avocat.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