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C-3533/2008 vom 16. Februar 2010</w:t>
      </w:r>
    </w:p>
    <w:p>
      <w:r>
        <w:t>Bundesverwaltungsgericht, 2010-02-16, FR</w:t>
      </w:r>
    </w:p>
    <w:p>
      <w:r>
        <w:rPr>
          <w:b/>
        </w:rPr>
        <w:t xml:space="preserve">Quelle: </w:t>
      </w:r>
      <w:r>
        <w:t>https://mcp.opencaselaw.ch/entscheid/bvger_C-3533_2008</w:t>
      </w:r>
    </w:p>
    <w:p>
      <w:r>
        <w:t>FR: TAF C-3533/2008 du 16 février 2010</w:t>
      </w:r>
    </w:p>
    <w:p>
      <w:r>
        <w:t>IT: TAF C-3533/2008 del 16 febbraio 2010</w:t>
      </w:r>
    </w:p>
    <w:p>
      <w:pPr>
        <w:pStyle w:val="Heading2"/>
      </w:pPr>
      <w:r>
        <w:t>Regeste</w:t>
      </w:r>
    </w:p>
    <w:p>
      <w:r>
        <w:t>Evaluation de l'invalidité</w:t>
      </w:r>
    </w:p>
    <w:p>
      <w:pPr>
        <w:pStyle w:val="Heading2"/>
      </w:pPr>
      <w:r>
        <w:t>Erwägungen</w:t>
      </w:r>
    </w:p>
    <w:p>
      <w:r>
        <w:rPr>
          <w:b/>
        </w:rPr>
        <w:t>E. 1.1</w:t>
      </w:r>
    </w:p>
    <w:p>
      <w:r>
        <w:t>En application de l'art. 40 du règlement du 17 janvier 1961 sur l'assurance-invalidité (RAI, RS 831.201), l'office AI du secteur d'activité dans lequel le frontalier a travaillé est compétent pour examiner les demandes présentées par des frontaliers, tandis que les décisions sont notifiées par l'OAIE. 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La décision litigieuse est datée du 29 avril 2008. S'agissant du droit applicable, il convient donc encore de préciser que le 1er janvier 2008 les modifications de la LAI introduites par la novelle du 6 octobre 2006 (5e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cités). En l'espèce, la recourante a déposé une demande de prestations AI le 9 février 2006, qu'elle a complétée en mars 2006, se prévalant d'une atteinte à la santé ayant pris naissance en juillet 2005. Partant, les dispositions topiques sont donc citées dans le présent arrêt dans leur teneur en vigueur au 31 décembre 2007 (cf. arrêt du Tribunal fédéral 8C-48/2009 du 28 avril 2009 consid. 4).</w:t>
      </w:r>
    </w:p>
    <w:p>
      <w:r>
        <w:rPr>
          <w:b/>
        </w:rPr>
        <w:t>E. 4</w:t>
      </w:r>
    </w:p>
    <w:p>
      <w:r>
        <w:t>Selon les normes en vigueur à l'époque des faits déterminants,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La recourante a versé des cotisations à l'AVS/AI pendant plus d'une année au total et remplit donc la condition de la durée minimale de cotisations. Il reste à examiner si et dans quelle mesure elle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5.3</w:t>
      </w:r>
    </w:p>
    <w:p>
      <w:r>
        <w:t>L'assuré a droit à un quart de rente s'il est invalide à 40% au moins, à une demi-rente s'il est invalide à 50%, à trois-quarts de rente s'il est invalide à 60% et à une rente entière s'il est invalide à 70% au moins (art. 28 al. 1 LAI).</w:t>
      </w:r>
    </w:p>
    <w:p>
      <w:r>
        <w:rPr>
          <w:b/>
        </w:rPr>
        <w:t>E. 5.4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 Jurisprudence et pratique administrative des autorités d'exécution de l'AVS/AI [Pratique VSI] 1998 p. 126 consid. 3c).</w:t>
      </w:r>
    </w:p>
    <w:p>
      <w:r>
        <w:rPr>
          <w:b/>
        </w:rPr>
        <w:t>E. 5.5</w:t>
      </w:r>
    </w:p>
    <w:p>
      <w:r>
        <w:t>Aux termes des art. 8 LPGA et 4 al. 1 LAI, l'objet assuré n'est pas l'atteinte à la santé physique, mais les conséquences économiques de celle-ci,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7.1</w:t>
      </w:r>
    </w:p>
    <w:p>
      <w:r>
        <w:t>En l'espèce la décision litigieuse est consécutive à la détermination du Dr K._______ du SMR qui lui-même se réfère essentiellement à l'avis des experts, soit un spécialiste en médecine générale et médecine du travail et un spécialiste en psychiatrie et psychothérapie tel qu'exprimé dans leur rapport en juin 2007. La recourante, quant à elle, oppose le point de vue de ces médecins traitants, urologue, oncologue et généraliste. Toutefois, eu égard au principe jurisprudentiel qui veut que le juge peut et doit tenir compte du fait que selon l'expérience, le médecin traitant est généralement enclin, en cas de doute, à prendre parti pour son patient en raison de la relation de confiance qui l'unit à ce denier (ATF 125 V 351 consid. 3b/cc et réf. cit.; Ulrich Meyer-Blaser, Rechtsprechung des Bundesgerichts zum IVG, Zurich 1997, p. 230) et à la divergence consacrée à ce sujet par la jurisprudence entre un mandat thérapeutique et un mandat d'expertise (ATF 124 I 170 consid. 4; arrêts I 676/05 du 13 mars 2006 consid. 2.4, I 783/05 du 18 avril 2006 consid. 2.2, U 58/06 du 2 août 2006 consid. 2.2, I 835/05 du 29 août 2006 consid. 3.2, I 879/05 du 27 septembre 2006 consid. 3.3, I 633/06 du 7 novembre 2006 consid. 3, I 113/06 du 7 mars 2007 consid. 4.4), il faut admettre que les différents rapports fournis pas le Prof. O.________, les Drs Q._______ et R._______ ou encore le Dr L._______, tous alléguant d'une incapacité totale, puis en procédure de recours, pour le Prof O.________ et le Dr R._______ de 50%, ne sont pas véritablement probants, faute d'une motivation circonstanciée, puisqu'ils ne font pas état d'éléments objectivement vérifiables ayant été ignorés dans le cadre de l'expertise et n'expliquent pas pourquoi l'atteinte à la santé entraîne une absence totale de capacité de travail ou une diminution de 50% au moins. Seul le Prof O.________ motive un tant soit peu sa prise de position. Selon lui, il doit être tenu compte lors de l'évaluation de la capacité professionnelle, outre les soins que la recourante doit s'auto-prodiguer pour sonder sa néovessie, du contexte psychologique, psycho-affectif et émotionnel séquellaire au traitement. Ce faisant, ce médecin perd de vue que ces éléments ne relèvent pas de l'assurance-invalidité. En effet,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références). Par exemple,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Pratique VSI 1999 p. 247 consid. 1, Pratique VSI 1998 p. 296 consid. 3b). Pour qu'un état psychologique puisse occasionner une incapacité de travail durable, il doit être d'une intensité sévère et diagnostiqué comme tel par référence à une classification internationale reconnue et par un médecin possédant une spécialisation en psychiatrie (cf. ATF 124 V 209 consid. 4b, ATF 132 V 65 consid. 3.4). Or, l'expert psychiatre écarte très clairement la possibilité d'une atteinte psychique ayant une valeur invalidante tout en admettant une certaine vulnérabilité narcissique qui ne répond pas selon lui à la nosologie d'un trouble de la personnalité au sens de la classification internationale des maladies. Les antécédents professionnels et familiaux ainsi que sa situation actuelle sont effectivement difficiles. Il note que contrairement à ce qu'elle affirme en se plaignant de manière outrancière, elle possède les ressources psychiques nécessaires. Il en veut pour preuve qu'elle assume intégralement son ménage, vit de manière indépendante, peut écrire des livres, effectuer des promenades et rencontrer des gens. L'assurée reste bloquée dans une attitude de revendication excessive. Selon l'expert, il y a trop d'inconvénients pour elle à reprendre une activité professionnelle, vu son déconditionnement social. Il relève également la nouvelle blessure narcissique subie par l'assurée du fait des conséquences peu gracieuses de son cancer de la vessie. Il pense néanmoins qu'elle ne déploie pas tous les efforts dont elle est capable pour surmonter les conséquences de son cancer. Il estime que d'un point de vue psychique, la capacité de travail est de 100% soit huit heures par jour dans son ancien emploi de secrétaire.</w:t>
      </w:r>
    </w:p>
    <w:p>
      <w:r>
        <w:rPr>
          <w:b/>
        </w:rPr>
        <w:t>E. 7.2</w:t>
      </w:r>
    </w:p>
    <w:p>
      <w:r>
        <w:t>D'un point de vue somatique, le Prof O.________ soutient que la recourante doit se sonder plusieurs fois par jour en milieu adéquat, environ chaque deux à trois heures (rapport du 26 septembre 2007) ensuite il n'indique plus ni la fréquence, ni la durée (rapport des 27 février et 26 novembre 2008 et du 11 juillet 2009). Le Dr L._______ affirme lui "plusieurs fois par jour et par nuit" dans son attestation du 7 avril 2008, puis il avance toutes les deux heures dans sa prise de position du 11 juin 2008. Les Drs Q._______ et R._______ font état d'auto-sondages réguliers. L'expert en médecin générale et médecine du travail n'est pas plus explicite puisqu'il se contente de dire que les conséquences "vraisemblables" des traitements suivis par la recourante pour son cancer de la vessie ont clairement une répercussion sur son rendement, qu'il estime diminué de 30%. Le Dr K._______ quant à lui démontre dans sa détermination du 11 mars 2008 de manière chiffrée que cette réduction du rendement intègre largement le temps nécessaire aux soins et sondages, puisqu'une occupation à 100%, à raison de huit heures par jour avec un rendement de 70%, laisse à l'assurée 144 minutes par jour pour procéder à la vidange de sa vessie, soit 36 minutes toutes les deux heures.</w:t>
      </w:r>
    </w:p>
    <w:p>
      <w:r>
        <w:rPr>
          <w:b/>
        </w:rPr>
        <w:t>E. 8</w:t>
      </w:r>
    </w:p>
    <w:p>
      <w:r>
        <w:t>La Cour de céans ne voit pas de raison de s'écarter du volet psychiatrique de l'expertise contestée qui a été menée dans les règles de l'art et dans le respect de la jurisprudence précitée. Concernant, le volet somatique, son avis est plus réservé. Il est vrai que l'argument chiffré du Dr K._______ pour justifier la réduction proposée par les experts paraît convaincant dans la mesure où, d'une part, il ressort d'autres pièces du dossier que la catétérisation de la vessie artificielle a lieu en moyenne une fois toutes les 4 heures (pce 135 du 7 novembre 2005 des Prof. M._______ et Dr N._______ du S._______ du T._______) et que les autosondages sont réalisés facilement par la patiente (pce 138 du 18 janvier 2008 du Prof. O.________ et des Drs Q._______ et R._______ du service d'urologie du T._______) et que, d'autre part, le calcul du Dr K._______ n'est pas contredit par le Prof O.________ dans ses deux déterminations ultérieures, mais on ne sait cependant si celui-ci en a réellement eu connaissance. Cependant, la Cour de céans remarque aussi que le médecin ayant effectué l'expertise somatique, le Dr I._______ n'est pas titulaire d'une spécialisation en urologie ou en oncologie. Or, selon la jurisprudence fédérale, la valeur probante d'une expertise médicale spécialisée dépend de la question de savoir si un expert dispose de la formation correspondante (cf. arrêt du Tribunal fédéral 9C_53/2009 du 29 mai 2009 consid. 4.2). La qualification du médecin consulté joue un rôle considérable dans l'appréciation d'une expertise, raison pour laquelle on attend qu'il possède les titres prouvant sa compétence ou qu'au moins le médecin qui vise le rapport les détient (cf. arrêt du Tribunal fédéral I 779/01 du 16 octobre 2002 consid. 4.1). Ce qui n'est pas le cas en l'espèce, de sorte que cela jette un doute sur la totalité de l'expertise puisque les conclusions sont déduites d'un consilium interdisciplinaire Pour être complet, il sied encore de relever que dans leur rapport du 23 mai 2006, la Dresse P.________ et le Dr D._______ étaient également d'avis que l'ancienne activité de la recourante était exigible à 50%, à raison de quatre heure par jour.</w:t>
      </w:r>
    </w:p>
    <w:p>
      <w:r>
        <w:rPr>
          <w:b/>
        </w:rPr>
        <w:t>E. 9.1</w:t>
      </w:r>
    </w:p>
    <w:p>
      <w:r>
        <w:t>Vu ce qui précède, si une capacité résiduelle de travail reste vraisemblable, le TAF doit constater qu'il ne possède pas les éléments clairs pour se faire une opinion déterminée de la mesure de cette capacité. Partant, il se justifie d'annuler la décision du 29 avril 2008, d'admettre partiellement le recours et de renvoyer la cause à l'autorité intimée afin qu'elle mette en oeuvre une nouvelle expertise pluridisciplinaire intégrant l'avis d'un urologue indépendant et d'un oncologue, avant de prendre une nouvelle décision.</w:t>
      </w:r>
    </w:p>
    <w:p>
      <w:r>
        <w:rPr>
          <w:b/>
        </w:rPr>
        <w:t>E. 9.2</w:t>
      </w:r>
    </w:p>
    <w:p>
      <w:r>
        <w:t>S'il subsiste une capacité de travail, la nouvelle décision devra également se fonder sur une comparaison des revenus. En effet, si l'ancienne activité est toujours partiellement exigible, il faut procéder à une comparaison statistique puisqu'elle a pris fin pour des raisons qui sont sans rapport avec les problèmes de santé de la recourante, et se prononcer au sujet d'une application d'un abattement approprié (Leidensabzug) sur le revenu d'invalide afin de l'établir de manière à ce qu'il corresponde le mieux à l'activité lucrative pouvant encore être exigée de l'assurée, compte tenu de sa capacité de travail résiduelle et des particularités du cas d'espèce (cf. ATF 134 V 322 consid. 5.1 et 6.2), comme par exemple les conséquences que le taux d'occupation ou la nature de l'handicap peut avoir sur le salaire (ATF 129 V 472 consid. 4.2.3). Dans ce contexte, l'autorité intimée devra également tenir compte du fait que les experts se sont prononcés en faveur d'une activité à raison de huit heures par jour ce qui ne correspond pas à un horaire usuel à 100%; de même la Dresse P.________ et le Dr D._______ estiment l'ancienne activité exigible à 50%, à raison de quatre heure par jour, ce qui n'est pas conforme aux heures effectuées habituellement à mi-temps.</w:t>
      </w:r>
    </w:p>
    <w:p>
      <w:r>
        <w:rPr>
          <w:b/>
        </w:rPr>
        <w:t>E. 10</w:t>
      </w:r>
    </w:p>
    <w:p>
      <w:r>
        <w:t>Pour terminer et compte tenu des revendications de la recourante qui semble considérer ses cotisations à l'AI suisse comme autant de versements d'épargne privée lui permettant d'exiger des prestations, il n'est pas inutile de brièvement rappeler que l'assurance-invalidité est basée sur le principe de la solidarité actuarielle. Ce fondement de solidarité, propre à toute assurance sociale, signifie que "plusieurs personnes indépendantes les unes des autres, réunies en collectivité, rassemblent des fonds dans le but commun, lorsque survient un événement précis à définir, d'aider l'un de ses membres en couvrant le dommage subi." (Gabriela Riemer-Kafka, La solidarité, toile de fond des assurances sociales, Sécurité sociale [CHSS] 2/2007, p. 59). L'AI vise à couvrir un risque défini juridiquement qui, une fois qu'il se réalise, donne droit à une prestation prévue par la loi qui peut-être fournie soit partiellement soit totalement. Le financement de cette assurance se base principalement sur la capacité économique de l'assuré (par le biais, la plupart du temps, de cotisations salariales). Le seul fait d'avoir participé au financement du risque ne suffit pas pour toucher des prestations, il faut encore que les autres conditions prévues par la loi (cf. consid. 5.5, l'invalidité est une notion juridico-économique) soient satisfaites, ce qui n'est pas encore établi en l'espèce.</w:t>
      </w:r>
    </w:p>
    <w:p>
      <w:r>
        <w:rPr>
          <w:b/>
        </w:rPr>
        <w:t>E. 11.1</w:t>
      </w:r>
    </w:p>
    <w:p>
      <w:r>
        <w:t>Compte tenu de l'issu du litige, il n'est pas perçu de frais de procédure (art. 63 al. 1 et 2 PA). En conséquence, l'avance de frais de Fr. 400.-- déjà versée par la recourante lui sera restituée sur le compte bancaire qu'elle aura désigné, une fois le présent arrêt entrée en force.</w:t>
      </w:r>
    </w:p>
    <w:p>
      <w:r>
        <w:rPr>
          <w:b/>
        </w:rPr>
        <w:t>E. 11.2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 En l'espèce, le travail accompli par le représentant de la recourante en instance de recours a consisté principalement dans la rédaction d'un recours de quatre pages accompagné d'un borderau de six annexes, de quatre demandes de prolongation de délai, d'une écriture complémentaire d'une page avec trois annexes, d'un nouveau complément de six pages avec deux annexes et d'une réplique d'une page avec une annexe. Il se justifie, eu égard à ce qui précède, de lui allouer une indemnité à titre de dépens de Fr. 2'000.-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