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C-3530/2016 vom 6. April 2017</w:t>
      </w:r>
    </w:p>
    <w:p>
      <w:r>
        <w:t>Bundesverwaltungsgericht, 2017-04-06, DE</w:t>
      </w:r>
    </w:p>
    <w:p>
      <w:r>
        <w:rPr>
          <w:b/>
        </w:rPr>
        <w:t xml:space="preserve">Quelle: </w:t>
      </w:r>
      <w:r>
        <w:t>https://mcp.opencaselaw.ch/entscheid/bvger_C-3530_2016</w:t>
      </w:r>
    </w:p>
    <w:p>
      <w:r>
        <w:t>FR: TAF C-3530/2016 du 6 avril 2017</w:t>
      </w:r>
    </w:p>
    <w:p>
      <w:r>
        <w:t>IT: TAF C-3530/2016 del 6 aprile 2017</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SAK.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60 ATSG sowie Art. 52 Abs. 1 VwVG). Als Adressatin des angefochtenen Einspracheentscheids vom 20. Mai 2016 ist die Beschwerdeführerin berührt und hat ein schutzwürdiges Interesse an dessen Aufhebung oder Änderung (vgl. Art. 59 ATSG). Zusammenfassend ergibt sich, dass sämtliche Prozessvoraussetzungen erfüllt sind. Auf die Beschwerde ist daher einzutreten.</w:t>
      </w:r>
    </w:p>
    <w:p>
      <w:r>
        <w:rPr>
          <w:b/>
        </w:rPr>
        <w:t>E. 1.4</w:t>
      </w:r>
    </w:p>
    <w:p>
      <w:r>
        <w:t>Anfechtungsobjekt und damit Begrenzung des Streitgegenstandes des vorliegenden Beschwerdeverfahrens (vgl. BGE 131 V 164 E. 2.1) bildet der Einspracheentscheid vom 20. Mai 2016 (act. 18), mit dem die Vorinstanz die Einsprache der Beschwerdeführerin (act. 15, 16) abwies und die Verfügung vom 17. Februar 2016 (act. 13) bestätigte. Streitig und vom Bundesverwaltungsgericht zu prüfen ist aufgrund der Rechtsbegehren einzig der Zeitpunkt, ab dem der Beschwerdeführerin die Altersrente nachzubezahlen ist. Nicht in Frage gestellt ist der Rentenanspruch mit Wirkung ab 1. Dezember 2010.</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Praxiskommentar VwVG, Art. 62 N 40). Es kann die angefochtene Verfügung zugunsten einer Partei ändern (Art. 62 Abs. 1 VwVG), womit gemeint ist, dass es über die Anträge der beschwerdeführenden Partei hinausgehen und mehr zusprechen kann, als diese beantragt hat (MOSER/BEUSCH/KNEUBÜHLER, Prozessieren vor dem Bundesverwaltungsgericht, 2. Aufl. 2013, S. 227 Rz. 3.199).</w:t>
      </w:r>
    </w:p>
    <w:p>
      <w:r>
        <w:rPr>
          <w:b/>
        </w:rPr>
        <w:t>E. 2.2</w:t>
      </w:r>
    </w:p>
    <w:p>
      <w:r>
        <w:t>Das Sozialversicherungsgericht beurteilt die Gesetzmässigkeit des angefochtenen Einspracheentscheides in der Regel nach dem Sachverhalt, der zur Zeit seines Erlasses gegeben war. Tatsachen, die jenen Sachverhalt seither verändert haben, sollen im Normalfall Gegenstand einer neuen Verwaltungsverfügung sein (BGE 130 V 138 E. 2.1). Vorbehältlich besonderer übergangsrechtlicher Regelungen sind in zeitlicher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w:t>
      </w:r>
    </w:p>
    <w:p>
      <w:r>
        <w:rPr>
          <w:b/>
        </w:rPr>
        <w:t>E. 2.3</w:t>
      </w:r>
    </w:p>
    <w:p>
      <w:r>
        <w:t>Die Beschwerdeführerin ist deutsche Staatsangehörige und wohnt in Deutschland, weshalb das am 1. Juni 2002 in Kraft getretene Abkommen vom 21. Juni 1999 zwischen der Schweizerischen Eidgenossenschaft einerseits und der Europäischen Gemeinschaft und ihrer Mitgliedsstaaten andererseits über die Freizügigkeit (FZA, SR 0.142.112.681) anwendbar ist. Gemäss Art. 8 Bst. a FZA werden die Systeme der sozialen Sicherheit koordiniert, um insbesondere die Gleichbehandlung aller Angehörigen der Vertragsstaaten zu gewährleisten.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und die Verordnung (EWG) Nr. 574/72 des Rates vom 21. März 1972 (nachfolgend: Durchführungsverordnung) oder gleichwertige Vorschriften an. Die vorerwähnten Verordnungen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Im Rahmen des FZA ist die Schweiz als "Mitgliedstaat" im Sinne der erwähnten Koordinierungsverordnungen zu betrachten (vgl. Art. 1 Abs. 2 Anhang II des FZA). Soweit weder das FZA noch die gestützt darauf anwendbaren gemeinschaftsrechtlichen Rechtsakte abweichende Bestimmungen vorsehen, richtet sich die Ausgestaltung des Verfahrens und die Prüfung des Rentenanspruchs alleine nach der schweizerischen Rechtsordnung (vgl. Urteil des Eidgenössischen Versicherungsgerichts [EVG; seit 1. Januar 2007: Sozialrechtliche Abteilungen des Bundesgerichts] H 13/05 vom 4. April 2005 E. 1.1 mit Hinweisen).</w:t>
      </w:r>
    </w:p>
    <w:p>
      <w:r>
        <w:rPr>
          <w:b/>
        </w:rPr>
        <w:t>E. 3</w:t>
      </w:r>
    </w:p>
    <w:p>
      <w:r>
        <w:t>Streitig und zu prüfen ist nur der Zeitpunkt, ab dem der Beschwerdeführerin die Altersrente nachzubezahlen ist. Im Folgenden sind die im vorliegenden Beschwerdeverfahren anwendbaren Normen darzustellen.</w:t>
      </w:r>
    </w:p>
    <w:p>
      <w:r>
        <w:rPr>
          <w:b/>
        </w:rPr>
        <w:t>E. 3.1</w:t>
      </w:r>
    </w:p>
    <w:p>
      <w:r>
        <w:t>Anspruch auf eine ordentliche Altersrente haben die rentenberechtigten Personen, denen für mindestens ein volles Jahr Einkommen, Erziehungs- oder Betreuungsgutschriften angerechnet werden können (Art. 29 Abs. 1 AHVG). Frauen, welche das 64. Altersjahr vollendet haben, haben Anspruch auf eine Altersrente haben. Der Anspruch auf die Altersrente entsteht am ersten Tag des Monats, welcher der Vollendung dieses Altersjahres folgt. Er erlischt mit dem Tod (Art. 21 AHVG). Unbestritten ist, dass die Beschwerdeführerin in den Jahren 1965 und 1966 eine Gesamtversicherungszeit von 17 Monaten zurücklegte (act. 8, 9, 10). Sie wurde (...) 1941 geboren und vollendete das 64. Altersjahr (...) 2005. Demnach wäre sie nach Massgabe von Art. 21 AHVG mit Wirkung ab 1. Juni 2005 (und nicht schon ab 1. Mai 2004) zum Bezug einer Altersrente berechtigt gewesen. Das ordentliche Rentenalter von Frauen lag (entgegen der im Einspracheentscheid vertretenen Auffassung; act. 18) schon 2004 bei 64. vollendeten Lebensjahren (vgl. Art. 21 AHVG bei Stand am 30. Dezember 2003).</w:t>
      </w:r>
    </w:p>
    <w:p>
      <w:r>
        <w:rPr>
          <w:b/>
        </w:rPr>
        <w:t>E. 3.2</w:t>
      </w:r>
    </w:p>
    <w:p>
      <w:r>
        <w:t>Wer eine Versicherungsleistung beansprucht, hat sich beim zuständigen Versicherungsträger in der für die jeweilige Sozialversicherung gültigen Form anzumelden. Für die Anmeldung und zur Abklärung des Anspruches auf Leistungen geben die Versicherungsträger unentgeltlich Formulare ab, die vom Ansprecher oder seinem Arbeitgeber und allenfalls vom behandelnden Arzt vollständig und wahrheitsgetreu auszufüllen und dem zuständigen Versicherungsträger zuzustellen sind.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ATSG).</w:t>
      </w:r>
    </w:p>
    <w:p>
      <w:r>
        <w:rPr>
          <w:b/>
        </w:rPr>
        <w:t>E. 3.3</w:t>
      </w:r>
    </w:p>
    <w:p>
      <w:r>
        <w:t>Im Anwendungsbereich des FZA gilt sodann Folgendes (Rechtslage zum Zeitpunkt der Anmeldung zum Bezug der deutschen Altersrente am 5. Juli 2002):</w:t>
      </w:r>
    </w:p>
    <w:p>
      <w:r>
        <w:rPr>
          <w:b/>
        </w:rPr>
        <w:t>E. 3.3.1</w:t>
      </w:r>
    </w:p>
    <w:p>
      <w:r>
        <w:t>Beantragt die betreffende Person die Feststellung der Leistungen, so wird, sofern Artikel 49 nichts anderes bestimmt, das Feststellungsverfahren hinsichtlich aller Rechtsvorschriften eingeleitet, die für den Arbeitnehmer oder Selbstständigen galten. Dies gilt nicht, falls die betreffende Person ausdrücklich beantragt, die Feststellung der auf Grund der Rechtsvorschriften eines oder mehrerer Mitgliedstaaten erworbenen Ansprüche auf Leistungen bei Alter aufzuschieben (Art. 44 Abs. 2 Verordnung).</w:t>
      </w:r>
    </w:p>
    <w:p>
      <w:r>
        <w:rPr>
          <w:b/>
        </w:rPr>
        <w:t>E. 3.3.2</w:t>
      </w:r>
    </w:p>
    <w:p>
      <w:r>
        <w:t>Eine Person hat für den Bezug von Leistungen nach den Artikeln 40 bis 51 der Verordnung, ausgenommen in den Fällen des Artikels 35 der Durchführungsverordnung, bei dem Träger des Wohnorts nach Massgabe der Rechtsvorschriften, die dieser Träger anwendet, einen Antrag zu stellen (Art. 36 Abs. 1 Durchführungsverordnung). Ein bei dem Träger eines Mitgliedstaats gestellter Leistungsantrag hat zur Folge, dass die Leistungen gleichzeitig nach den Rechtsvorschriften aller beteiligten Mitgliedstaaten, deren Voraussetzungen der Antragsteller erfüllt, festgestellt werden; dies gilt jedoch nicht, wenn der Antragsteller gemäss Artikel 44 Absatz 2 der Verordnung wünscht, dass die Feststellung der nach den Rechtsvorschriften eines oder mehrerer Mitgliedstaaten erworbenen Leistungen bei Alter aufgeschoben wird (Art. 36 Abs. 4 Durchführungsverordnung).</w:t>
      </w:r>
    </w:p>
    <w:p>
      <w:r>
        <w:rPr>
          <w:b/>
        </w:rPr>
        <w:t>E. 3.3.3</w:t>
      </w:r>
    </w:p>
    <w:p>
      <w:r>
        <w:t>Die Leistungsanträge sind von dem Träger zu bearbeiten, bei dem sie gemäss Artikel 36 der Durchführungsverordnung gestellt oder an den sie gemäss diesem Artikel übermittelt worden sind. Dieser Träger wird als «bearbeitender Träger» bezeichnet. Der bearbeitende Träger hat alle beteiligten Träger von Leistungsanträgen unter Verwendung eines hierzu festgelegten Formblatts sofort zu unterrichten, damit die Anträge von sämtlichen Trägern unverzüglich und gleichzeitig bearbeitet werden können (Art. 41 Durchführungsverordnung).</w:t>
      </w:r>
    </w:p>
    <w:p>
      <w:r>
        <w:rPr>
          <w:b/>
        </w:rPr>
        <w:t>E. 3.4</w:t>
      </w:r>
    </w:p>
    <w:p>
      <w:r>
        <w:t>Der Anspruch auf ausstehende Leistungen erlischt fünf Jahre nach dem Ende des Monats, für welchen die Leistung geschuldet war (Art. 24 Abs. 1 ATSG).</w:t>
      </w:r>
    </w:p>
    <w:p>
      <w:r>
        <w:rPr>
          <w:b/>
        </w:rPr>
        <w:t>E. 4.1</w:t>
      </w:r>
    </w:p>
    <w:p>
      <w:r>
        <w:t>Die Vorinstanz nahm im angefochtenen Einspracheentscheid auf die Regeste von BGE 121 V 195 Bezug, in der zum damaligen Art. 46 des Bundesgesetzes vom 19. Juni 1959 über die Invalidenversicherung (IVG, SR 831.20) Folgendes festgestellt wurde: Die Nachzahlung von Leistungen unterliegt, auch wenn die Verwaltung fehlerhaft einem bereits früher hinreichend substantiierten Leistungsbegehren nicht entsprochen hat, einer absoluten Verwirkungsfrist von fünf Jahren, welche rückwärts ab dem Zeitpunkt der Neuanmeldung berechnet wird. Diese Rechtsprechung wurde unter anderem damit begründet, bei Sozialversicherungsleistungen handle es sich typischerweise um periodische Geldleistungen, welche einen aktuellen Unterhaltsbedarf abdecken sollten und welche nicht zur Äufnung eines mehr oder weniger grossen Vermögens führen sollten, was jedoch bei Nachzahlungen für längere Zeitperioden der Fall sein dürfte (BGE 121 V 195 E. 5c).</w:t>
      </w:r>
    </w:p>
    <w:p>
      <w:r>
        <w:rPr>
          <w:b/>
        </w:rPr>
        <w:t>E. 4.2</w:t>
      </w:r>
    </w:p>
    <w:p>
      <w:r>
        <w:t>Das Bundesgericht hat trotz der Kritik eines Teils der Lehre (Ueli Kieser, Bemerkungen, in: AJP 1995 S. 1619 f.; Thomas Locher, Grundriss des Sozialversicherungsrechts, 2. Aufl., Bern 1997, S. 335 Rz. 7; Ueli Kieser, Die Eingliederungsmassnahmen als Gegenstand von Anmeldung, Abklärung und Verfügung, in: Schaffhauser/Schlauri [Hrsg.], Rechtsfragen der Eingliederung Behinderter, St. Gallen 2000, S. 117 ff., S. 125) an dieser Rechtsprechung auch unter der Herrschaft des ATSG festgehalten, da dieselben Gründe, welche im Allgemeinen für die Einführung von Verjährungs- bzw. Verwirkungsbestimmungen sprachen, grundsätzlich auch für rechtzeitig angemeldete Ansprüche gelten (vgl. Urteil M 12/06 vom 23. November 2007 E. 5). Nach diesem Urteil ist Art. 24 Abs. 1 ATSG weiterhin auch auf rechtzeitig angemeldete Ansprüche anwendbar; Anmeldung und Neuanmeldung wirken dabei gleichsam wie eine Unterbrechung der fünfjährigen Frist (vgl. auch Urteil U 314/05 vom 7. September 2006 E. 6.2). Im Urteil 8C_888/2012 vom 20. Februar 2013 E. 4.3 hat das Bundesgericht zudem festgehalten, dass Art. 24 Abs. 1 ATSG grundsätzlich auch in jenen Fällen Anwendung findet, in denen der Versicherungsträger zunächst mit der Prüfung eines Anspruchs begonnen hatte, hernach aber nicht über diesen mittels Verfügung entschied. Das Bundesgericht hat - in Kenntnis der Kritik eines Teils der Lehre - seine Rechtsprechung, wonach Art. 24 Abs. 1 ATSG selbst für rechtzeitig angemeldete Ansprüche gilt, wiederholt bestätigt (Urteil des Bundesgerichts 8C_977/2012 vom 27. März 2013 E. 3.2 und 4.2).</w:t>
      </w:r>
    </w:p>
    <w:p>
      <w:r>
        <w:rPr>
          <w:b/>
        </w:rPr>
        <w:t>E. 4.3</w:t>
      </w:r>
    </w:p>
    <w:p>
      <w:r>
        <w:t>Nach dem Gesagten besteht mit Blick auf den Zeitraum von Juni 2005 bis November 2010 keine Möglichkeit für eine Nachzahlung von Rentenleistungen. Die bundesgerichtliche Auslegung von Art. 24 Abs. 1 ATSG schliesst ein solches Vorgehen aus. Aufgrund des Rentenantrags vom 8. Dezember 2015 konnte die Vorinstanz nur die ausstehenden Rentenleistungen mit Wirkung ab 1. Dezember 2010 ausrichten. Die Rentenleistungen für den Zeitraum von Juni 2005 bis November 2010 waren aufgrund der fünfjährigen Frist nach Art. 24 Abs. 1 ATSG verwirkt. Dies müsste im Übrigen selbst dann gelten, wenn man aufgrund des FZA, das am 1. Juni 2002 in Kraft trat, bzw. der zuvor zitierten Bestimmungen von Verordnung und Durchführungsverordnung davon ausgehen würde, dass die Anmeldung zum Bezug der deutschen Altersrente vom 5. Juli 2002 zugleich auch als hinreichend substantiiertes Leistungsbegehren für eine schweizerische Altersrente zu betrachten gewesen wäre. Dies erscheint allerdings abwegig, da die (...) 1941 geborene Beschwerdeführerin seinerzeit das (ordentliche) schweizerische Rentenalter von 64. vollendeten Altersjahren noch nicht erreicht hatte und gemäss einem Schreiben des deutschen Versicherungsträgers vom 8. April 2016 auch kein Vorbezug beantragt worden war (act. 17). Somit erfüllte sie zum fraglichen Zeitpunkt (am 5. Juli 2002) die Voraussetzungen zum Bezug der schweizerischen Altersrente noch nicht, weshalb die ausgebliebene Mitteilung an die Vorinstanz prima vista nachvollziehbar ist.</w:t>
      </w:r>
    </w:p>
    <w:p>
      <w:r>
        <w:rPr>
          <w:b/>
        </w:rPr>
        <w:t>E. 5</w:t>
      </w:r>
    </w:p>
    <w:p>
      <w:r>
        <w:t>Nach dem Gesagten besteht mit Blick auf den Zeitraum von Juni 2005 bis November 2010 keine Möglichkeit für eine Nachzahlung von Rentenleistungen. Die Beschwerde erweist sich demnach als unbegründet, weshalb sie abzuweisen und der vorinstanzliche Einspracheentscheid vom 20. Mai 2016 zu bestätigen ist.</w:t>
      </w:r>
    </w:p>
    <w:p>
      <w:r>
        <w:rPr>
          <w:b/>
        </w:rPr>
        <w:t>E. 6</w:t>
      </w:r>
    </w:p>
    <w:p>
      <w:r>
        <w:t>Das Verfahren ist für die Parteien kostenlos (Art. 85bis Abs. 2 AHVG), sodass keine Verfahrenskosten zu erheben sind. Weder die obsiegende Vor-instanz noch die unterliegende Beschwerdeführerin haben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