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C-3521/2007 vom 29. Januar 2009</w:t>
      </w:r>
    </w:p>
    <w:p>
      <w:r>
        <w:t>Bundesverwaltungsgericht, 2009-01-29, DE</w:t>
      </w:r>
    </w:p>
    <w:p>
      <w:r>
        <w:rPr>
          <w:b/>
        </w:rPr>
        <w:t xml:space="preserve">Quelle: </w:t>
      </w:r>
      <w:r>
        <w:t>https://mcp.opencaselaw.ch/entscheid/bvger_C-3521_2007</w:t>
      </w:r>
    </w:p>
    <w:p>
      <w:r>
        <w:t>FR: TAF C-3521/2007 du 29 janvier 2009</w:t>
      </w:r>
    </w:p>
    <w:p>
      <w:r>
        <w:t>IT: TAF C-3521/2007 del 29 gennaio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sowie Art. 51 des Bürgerrechtsgesetzes vom 29. September 1952 [BüG, SR 141.0]). Gemäss Art. 37 VGG richtet sich das Verfahren vor dem Bundesverwaltungsgericht nach dem VwVG, soweit das Gesetz nichts anderes bestimmt.</w:t>
      </w:r>
    </w:p>
    <w:p>
      <w:r>
        <w:rPr>
          <w:b/>
        </w:rPr>
        <w:t>E. 1.2</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Urteil des Bundesverwaltungsgerichts C-135/2006 vom 20. Dezember 2007 E. 2 mit weiteren Hinweisen).</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 Abgesehen davon hat der Begriff der intakten Ehe aber auch eine objektive Komponente. Die Berufung auf einen gemeinsamen Ehewillen ist jedenfalls dann nicht statthaft, wenn die eheliche Lebensgemeinschaft nicht den allgemeinen ethisch-moralischen Vorstellungen entspricht, beispielsweise dann, wenn sie nicht ausschliesslich auf den Ehepartner bezogen ist oder für Zwecke, die nichts mit der Ehepartnerschaft zu tun haben, missbraucht wird. Aus diesem Grund sind Zweifel an einer angeblich intakten Ehe auch dann angebracht, wenn für ihr späteres Scheitern Gründe vorgeschoben werden, die - objektiv betrachtet - nicht geeignet sind, den Ehewillen abrupt und unwiederbringlich zu zerstören.</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4</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4.2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5</w:t>
      </w:r>
    </w:p>
    <w:p>
      <w:r>
        <w:t>Die angefochtene Verfügung geht davon aus, der Beschwerdeführer habe sich bei seiner Heirat von zweckfremden Motiven, nämlich der Sicherung des Aufenthaltsrechts und der Möglichkeit der späteren Einbürgerung leiten lassen. Aus den gesamten Umständen müsse geschlossen werden, dass er während des Einbürgerungsverfahrens falsche Angaben gemacht bzw. wesentliche Tatsachen verschwiegen habe. Dadurch habe er den falschen Anschein einer stabilen ehelichen Gemeinschaft erweckt und sich die erleichterte Einbürgerung erschlichen.</w:t>
      </w:r>
    </w:p>
    <w:p>
      <w:r>
        <w:rPr>
          <w:b/>
        </w:rPr>
        <w:t>E. 5.1</w:t>
      </w:r>
    </w:p>
    <w:p>
      <w:r>
        <w:t>Aufgrund des Akteninhalts steht fest, dass sich die künftigen Ehegatten im Jahr 1989 in Marokko kennenlernten und ihren Kontakt über mehrere Jahre hinweg pflegten, bevor X._______ zwecks Heirat im April 1996 in die Schweiz einreiste. Dass für diesen Schritt die schlechteren Lebensbedingungen in der Heimat zumindest mitursächlich waren, ist ebenfalls unbestritten. Aus den Akten geht weiterhin hervor, dass die Ehegatten vor ihrer Heirat im Juni 1996 die Gütertrennung vereinbarten und einen Erbverzichtsvertrag schlossen, dass sich X._______ im Oktober 1997 für rund acht Monate wieder in sein Heimatland begab und dass er lange vor Erreichen der fünfjährigen Wohnsitzdauer - nämlich bereits am 4. September 2000 - das Gesuch um erleichterte Einbürgerung stellte. Rund fünfeinhalb Monate nach seiner am 28. Mai 2002 erfolgten Einbürgerung unterzeichneten die Ehegatten ein gemeinsames Scheidungsbegehren.</w:t>
      </w:r>
    </w:p>
    <w:p>
      <w:r>
        <w:rPr>
          <w:b/>
        </w:rPr>
        <w:t>E. 5.2</w:t>
      </w:r>
    </w:p>
    <w:p>
      <w:r>
        <w:t>Angesichts der geschilderten Umstände sind Zweifel am Zweck der vom Beschwerdeführer mit Y._______eingegangen Ehe berechtigt, erst recht deshalb, weil zwischen den Ehegatten ein Altersunterschied von rund 32 Jahren bestand. Vor allem wird einerseits deutlich, dass sich Abeslam El Balli von einem mit der Eheschliessung einhergehenden Aufenthaltsrecht in der Schweiz eine bessere Zukunft versprach, andererseits aber auch, dass sich Y._______schon im Vorfeld der Heirat gegen für sie finanziell nachteilige Folgen einer Ehescheidung absicherte. Die Vorinstanz durfte daher zu Recht von der tatsächlichen Vermutung ausgehen, dass der Beschwerdeführer von vornherein keine auf eine gemeinsame Zukunft ausgerichtete Ehe bezweckte und sich somit die erleichterte Einbürgerung erschlichen hat.</w:t>
      </w:r>
    </w:p>
    <w:p>
      <w:r>
        <w:rPr>
          <w:b/>
        </w:rPr>
        <w:t>E. 6</w:t>
      </w:r>
    </w:p>
    <w:p>
      <w:r>
        <w:t>Dementsprechend stellt sich die Frage, ob die vom Beschwerdeführer vorgebrachten Argumente geeignet sind, die eben beschriebene tatsächliche Vermutung umzustossen.</w:t>
      </w:r>
    </w:p>
    <w:p>
      <w:r>
        <w:rPr>
          <w:b/>
        </w:rPr>
        <w:t>E. 6.1</w:t>
      </w:r>
    </w:p>
    <w:p>
      <w:r>
        <w:t>Der Beschwerdeführer macht geltend, die Vorinstanz habe aus den gesamten Umständen willkürliche Schlussfolgerungen gezogen und ihm, ohne ihn persönlich anzuhören, zu Unrecht unterstellt, sich das Schweizer Bürgerrecht durch eine Zweckehe erschlichen zu haben. Hierfür gebe es keine Hinweise. Grundvoraussetzung jeder Heirat sei Liebe; diese dürfe bei ihm nicht in Abrede gestellt werden, zumal er über sechseinhalb Jahre mit seiner Ehefrau zusammengelebt habe, ihr treu gewesen sei und sich erst lange nach der Scheidung neu verheiratet habe.</w:t>
      </w:r>
    </w:p>
    <w:p>
      <w:r>
        <w:rPr>
          <w:b/>
        </w:rPr>
        <w:t>E. 6.2</w:t>
      </w:r>
    </w:p>
    <w:p>
      <w:r>
        <w:t>Wie bereits erwähnt (E. 4.1) geht es bei Beurteilung, ob eine tatsächliche eheliche Lebensgemeinschaft besteht, vor allem um innere Vorgänge, die aufgrund der Lebenserfahrung als mehr oder weniger wahrscheinlich eingeschätzt werden können, aber dem direkten Beweis nicht zugänglich sind. Vor diesem Hintergrund erhebt der Beschwerdeführer gegenüber der Vorinstanz zu Unrecht den Vorwurf willkürlicher Schlussfolgerungen: Aufgrund der gegebenen Indizien war nämlich gerade nicht davon auszugehen, dass seine Ehe mit Y._______eine von Liebe und gegenseitiger Unterstützung geprägte Partnerschaft darstellte. An dieser Vermutung ist jedenfalls festzuhalten, solange sie nicht durch einen Gegenbeweis oder durch nachvollziehbare Zweifel umgestossen wird.</w:t>
      </w:r>
    </w:p>
    <w:p>
      <w:r>
        <w:rPr>
          <w:b/>
        </w:rPr>
        <w:t>E. 6.3</w:t>
      </w:r>
    </w:p>
    <w:p>
      <w:r>
        <w:t>Der Hinweis des Beschwerdeführers, seine Ehe habe mehr als sechs Jahre gedauert, stellt die bisherige Einschätzung allerdings nicht ernsthaft in Frage, vor allem deshalb nicht, weil eine erleichterte Einbürgerung zu einem früheren Zeitpunkt gar nicht in Frage kam bzw. erst dann erfolgte, nachdem (unter Berücksichtigung seines Auslandsaufenthalts) die Voraussetzung der fünfjährigen Wohndauer in der Schweiz knapp erfüllt war. Es mag zwar eingeräumt werden, dass seine Ehe - äusserlich betrachtet - konfliktfrei verlaufen ist, nicht zuletzt deshalb, weil auch Y._______bei ihrer Befragung am 4. Juli 2006 einen derartigen Eindruck zu vermitteln versuchte. Dabei hat sie zum einen glaubhaft dargelegt, sie habe mit ihrem Ehemann ein grosses gemeinsames Interesse an Marokko geteilt, zum anderen erklärt, es habe in ihrer Ehe keine Schwierigkeiten gegeben. Aufgrund der übrigen Umstände im Umfeld von Heirat und Einbürgerung ist jedoch nicht auszuschliessen, dass der Beschwerdeführer mit der Ehe andere, für ihn höherrangige Ziele verfolgte, deren Erreichen die Fortsetzung der Ehe nicht mehr erstrebenswert erscheinen liess. Ob die Verfolgung ehewidriger Ziele von der Ehefrau mitunterstützt wurde, ist dabei nicht entscheidwesentlich.</w:t>
      </w:r>
    </w:p>
    <w:p>
      <w:r>
        <w:rPr>
          <w:b/>
        </w:rPr>
        <w:t>E. 7</w:t>
      </w:r>
    </w:p>
    <w:p>
      <w:r>
        <w:t>Als Grund für das wenige Monate nach der erleichterten Einbürgerung erfolgte Scheitern seiner angeblich stabilen Ehe nennt der Beschwerdeführer die Krankheit seiner Ehefrau und ihre aufgrunddessen getroffene Entscheidung, ihn mit der Scheidung zur Selbständigkeit zu zwingen. Seine Ausführungen hierzu - welche mit denen der Ex-Ehefrau übereinstimmen - sind allerdings eher geeignet, die Zweifel am Bestehen einer wirklichen ehelichen Gemeinschaft zu verstärken, als diese umzustossen.</w:t>
      </w:r>
    </w:p>
    <w:p>
      <w:r>
        <w:rPr>
          <w:b/>
        </w:rPr>
        <w:t>E. 7.1</w:t>
      </w:r>
    </w:p>
    <w:p>
      <w:r>
        <w:t>Festzuhalten ist, dass der Beschwerdeführer mit der Absicht, in der Schweiz eine neue Heimat zu finden, eine mehr als 32 Jahre ältere Frau heiratete, deren körperliche Konstitution zweifellos nicht mehr der eigenen entsprach. Von Beginn an konnte er daher eine von Gesundheitsproblemen unbeschwerte Ehe allenfalls erhoffen, musste allerdings auch der Tatsache ins Auge sehen, dass die damals bereits 59-jährige Ehefrau früher oder später alters- oder gesundheitlich bedingt Einschränkungen erfahren würde. Wenn der Beschwerdeführer vor diesem Hintergrund die Auflösung der Ehe mit der Krankheit seiner Ehefrau plausibel zu machen versucht, so ignoriert er die für eine Ehe massgeblichen Grundwerte, nämlich, dass sich die Ehegatten Treue und Beistand schulden (vgl. Art. 159 Abs. 3 des Schweizerischen Zivilgesetzbuchs vom 10. Dezember 2007 [ZGB, SR 210]) und dass hierzu auch die Unterstützung eines kranken oder hilfsbedürftigen Partners gehört. Wohlgemerkt ist dem Beschwerdeführer die Trennung von seiner gesundheitlich beeinträchtigten Ehefrau nicht moralisch vorzuwerfen; bezeichnet er jedoch die Krankheit als Grund für die Auflösung einer vollkommen intakten Ehe, so ist dies ein Widerspruch in sich und macht deutlich, dass mit der Ehe offensichtlich ganz andere Zwecke verfolgt wurden.</w:t>
      </w:r>
    </w:p>
    <w:p>
      <w:r>
        <w:rPr>
          <w:b/>
        </w:rPr>
        <w:t>E. 7.2</w:t>
      </w:r>
    </w:p>
    <w:p>
      <w:r>
        <w:t>An dieser Einschätzung ändert auch der Einwand nichts, allein die Ehefrau habe die Scheidung gewünscht und ihren Ehemann gezwungen, dem Scheidungsbegehren zuzustimmen. Immerhin ist unbestritten, dass die Ehegatten ein gemeinsames Scheidungsbegehren gestellt haben, so dass es keineswegs glaubhaft erscheint, dass X._______ entsprechendem Druck seiner Gattin ausgesetzt gewesen sein soll. Im Übrigen steht diese Behauptung in klarem Widerspruch zu seinen Äusserungen im vorinstanzlichen Verfahren: Dort hatte er geltend gemacht, er habe gegen den Scheidungswunsch seiner Ehefrau nicht opponieren wollen; diese habe ihm versprochen, auch weiterhin für ihn da zu sein, ihm im gleichen Haus eine Wohnung organisiert und ihn finanziell unterstützt (vgl. Seite 3 seiner Eingabe vom 19. Dezember 2006). Doch auch wenn der Beschwerdeführer mit seinem ambivalenten Vorbringen zum Ausdruck bringen will, er sei dem alleinigen Scheidungswunsch seiner Ehefrau nachgekommen, so ist nicht verständlich, warum er sich diesem Wunsch - der ja objektiv gesehen nur in seinem eigenen, nicht aber im Interesse der Ehefrau gelegen haben kann - nicht widersetzte: Im Rahmen einer intakten Lebensgemeinschaft hätte dies dem Partner jedenfalls signalisiert, dass man ihm auch in seiner Krankheit beistehen wolle. Wenn X._______ demgegenüber nicht einmal den geringsten Versuch unternommen hat, seine Ehe zu retten, macht dies nur deutlich, dass ihm - der in jedem Fall Nutzniesser der Beziehung war - an einer tatsächlichen ehelichen Lebensemeinschaft nicht wirklich gelegen war.</w:t>
      </w:r>
    </w:p>
    <w:p>
      <w:r>
        <w:rPr>
          <w:b/>
        </w:rPr>
        <w:t>E. 7.3</w:t>
      </w:r>
    </w:p>
    <w:p>
      <w:r>
        <w:t>Angesichts dessen ist es unerheblich, welchen Verlauf die Krankheit von Y._______genommen hat bzw. inwieweit die Folgen ihrer gesundheitlichen Beeinträchtigung vorhersehbar waren. Ob die nach Unterzeichnung, aber vor Einreichen des Scheidungsbegehrens unternommene Reise nach Marokko im Zusammenhang mit der Erkrankung der Ehefrau stand, spielt somit auch keine Rolle. Allenfalls ist diese Reise ein weiteres Indiz dafür, dass die Ehe anderen Zwecken diente und u.a. deshalb geschlossen und weitergeführt wurde, weil die Ehegatten ein gemeinsames Interesse an der arabischen Kultur teilten.</w:t>
      </w:r>
    </w:p>
    <w:p>
      <w:r>
        <w:rPr>
          <w:b/>
        </w:rPr>
        <w:t>E. 7.4</w:t>
      </w:r>
    </w:p>
    <w:p>
      <w:r>
        <w:t>Demzufolge ist festzustellen, dass der Beschwerdeführers mit seinen soeben dargelegten Einwänden Gründe für das Scheitern seiner Ehe vorgeschoben hat, die - objektiv betrachtet - nicht geeignet sind, einen aufrichtigen Ehewillen abrupt und unwiederbringlich zu zerstören.</w:t>
      </w:r>
    </w:p>
    <w:p>
      <w:r>
        <w:rPr>
          <w:b/>
        </w:rPr>
        <w:t>E. 8</w:t>
      </w:r>
    </w:p>
    <w:p>
      <w:r>
        <w:t>Der Vorinstanz, welche sich mit seinen Einwänden bereits auseinandergesetzt hat, hat der Beschwerdeführer vorgeworfen, ihn nicht persönlich angehört zu haben. Art. 19 VwVG i.V.m. Art. 37 BZP verpflichtet die Behörde jedoch nicht, alles und jedes, was wünschbar wäre, abzuklären.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Diese Situation bestand auch im vorliegenden Fall, denn die Vorinstanz durfte davon ausgehen, dass der Beschwerdeführer die bisher für das Scheitern seiner Ehe angeführten Gründe bestätigen würde. Hierauf kommt es jedoch, wie dargelegt, nicht an.</w:t>
      </w:r>
    </w:p>
    <w:p>
      <w:r>
        <w:rPr>
          <w:b/>
        </w:rPr>
        <w:t>E. 9</w:t>
      </w:r>
    </w:p>
    <w:p>
      <w:r>
        <w:t>Zusammenfassend ist festzustellen, dass der Beschwerdeführer die von der Vorinstanz gezogenen Schlussfolgerungen nicht hat entkräften können. Seine Ehe mit Y._______war offensichtlich darauf ausgerichtet, zunächst eine Aufenthaltsbewilligung und im Anschluss daran das Schweizer Bürgerrecht zu erhalten, und wurde - sobald letztgenannter Zweck erfüllt war - dafür geopfert. Ein anderer plausibler Grund, der nach der erfolgten Einbürgerung zur Scheidung hätte führen können, wird vom Beschwerdeführer nicht geltend gemacht. Gebraucht jedoch ein Ehegatte das Institut der Ehe dazu, um seine eigenen persönlichen Interessen durchzusetzen, so handelt es sich, auch wenn der äussere Anschein trügt, nicht um eine wirklich intakte Beziehung. Von einer echten, in die Zukunft gerichteten Lebensgemeinschaft kann dann keine Rede sein.</w:t>
      </w:r>
    </w:p>
    <w:p>
      <w:r>
        <w:rPr>
          <w:b/>
        </w:rPr>
        <w:t>E. 10</w:t>
      </w:r>
    </w:p>
    <w:p>
      <w:r>
        <w:t>Mit der Erklärung vom 18. April 2002 hat X._______ das Vorliegen einer stabilen Ehe bestätigt. Er hat dabei unterschriftlich zur Kenntnis genommen, dass die erleichterte Einbürgerung u.a. dann nicht möglich ist, wenn vor oder während des Einbürgerungsverfahrens keine tatsächliche eheliche Gemeinschaft mehr besteht, und dass die Verheimlichung einer solchen Tatsache zur Nichtigerklärung der Einbürgerung führen kann. Gestützt auf seine Mitwirkungspflicht hätte er die Behörde über das Fehlen dieser Voraussetzungen informieren müssen (vgl. oben Erwägungen 3.3). Indem er statt dessen die tatsächlichen Motive für das Festhalten an seiner Ehe verschwiegen hat, hat sich der Beschwerdeführer seine erleichterte Einbürgerung erschlichen. Die Voraussetzungen der Nichtigerklärung der erleichterten Einbürgerung gemäss Art. 41 Abs. 1 BüG waren somit erfüllt.</w:t>
      </w:r>
    </w:p>
    <w:p>
      <w:r>
        <w:rPr>
          <w:b/>
        </w:rPr>
        <w:t>E. 11</w:t>
      </w:r>
    </w:p>
    <w:p>
      <w:r>
        <w:t>Die vorinstanzliche Verfügung vom 1. Mai 2007 ist somit im Ergebnis als rechtmässig und angemessen zu bestätigen (Art. 49 VwVG) und die Beschwerde infolgedessen abzuweisen.</w:t>
      </w:r>
    </w:p>
    <w:p>
      <w:r>
        <w:rPr>
          <w:b/>
        </w:rPr>
        <w:t>E. 12</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